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שופטת</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כריסטינה חילו-אסעד</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3D7DEE" w:rsidRDefault="004B01AC" w:rsidP="00942F8C">
            <w:pPr>
              <w:rPr>
                <w:rFonts w:ascii="David" w:hAnsi="David"/>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p>
          <w:p w:rsidR="00870F64" w:rsidRPr="00587C90" w:rsidRDefault="003D7DEE" w:rsidP="003D7DEE">
            <w:pPr>
              <w:rPr>
                <w:rFonts w:ascii="David" w:hAnsi="David"/>
                <w:b/>
                <w:bCs/>
                <w:sz w:val="26"/>
                <w:szCs w:val="26"/>
              </w:rPr>
            </w:pPr>
            <w:r>
              <w:rPr>
                <w:rFonts w:hint="cs"/>
                <w:rtl/>
              </w:rPr>
              <w:t xml:space="preserve">באמצעות עו"ד </w:t>
            </w:r>
            <w:r>
              <w:rPr>
                <w:rtl/>
              </w:rPr>
              <w:t xml:space="preserve">אלעד </w:t>
            </w:r>
            <w:proofErr w:type="spellStart"/>
            <w:r>
              <w:rPr>
                <w:rtl/>
              </w:rPr>
              <w:t>טלקר</w:t>
            </w:r>
            <w:proofErr w:type="spellEnd"/>
            <w:r w:rsidR="006F6206">
              <w:rPr>
                <w:rFonts w:ascii="David" w:hAnsi="David" w:hint="cs"/>
                <w:sz w:val="26"/>
                <w:szCs w:val="26"/>
                <w:rtl/>
              </w:rPr>
              <w:t xml:space="preserve"> </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Default="004B01AC" w:rsidP="003D7DEE">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 xml:space="preserve">דוד </w:t>
                </w:r>
                <w:r w:rsidR="003D7DEE">
                  <w:rPr>
                    <w:rFonts w:ascii="David" w:hAnsi="David" w:hint="cs"/>
                    <w:b/>
                    <w:bCs/>
                    <w:sz w:val="26"/>
                    <w:szCs w:val="26"/>
                    <w:rtl/>
                  </w:rPr>
                  <w:t xml:space="preserve">דורו </w:t>
                </w:r>
                <w:r w:rsidR="00843239">
                  <w:rPr>
                    <w:rFonts w:ascii="David" w:hAnsi="David"/>
                    <w:b/>
                    <w:bCs/>
                    <w:sz w:val="26"/>
                    <w:szCs w:val="26"/>
                    <w:rtl/>
                  </w:rPr>
                  <w:t>רוז</w:t>
                </w:r>
                <w:r w:rsidR="003D7DEE">
                  <w:rPr>
                    <w:rFonts w:ascii="David" w:hAnsi="David" w:hint="cs"/>
                    <w:b/>
                    <w:bCs/>
                    <w:sz w:val="26"/>
                    <w:szCs w:val="26"/>
                    <w:rtl/>
                  </w:rPr>
                  <w:t>י</w:t>
                </w:r>
                <w:r w:rsidR="00843239">
                  <w:rPr>
                    <w:rFonts w:ascii="David" w:hAnsi="David"/>
                    <w:b/>
                    <w:bCs/>
                    <w:sz w:val="26"/>
                    <w:szCs w:val="26"/>
                    <w:rtl/>
                  </w:rPr>
                  <w:t>ן</w:t>
                </w:r>
              </w:sdtContent>
            </w:sdt>
          </w:p>
          <w:p w:rsidR="003D7DEE" w:rsidRPr="003D7DEE" w:rsidRDefault="003D7DEE" w:rsidP="003D7DEE">
            <w:pPr>
              <w:rPr>
                <w:rFonts w:ascii="David" w:hAnsi="David"/>
                <w:sz w:val="26"/>
                <w:szCs w:val="26"/>
                <w:rtl/>
              </w:rPr>
            </w:pPr>
            <w:r w:rsidRPr="003D7DEE">
              <w:rPr>
                <w:rFonts w:ascii="David" w:hAnsi="David" w:hint="cs"/>
                <w:rtl/>
              </w:rPr>
              <w:t>בעצמו</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sidR="003D7DEE">
                  <w:rPr>
                    <w:rFonts w:ascii="David" w:hAnsi="David"/>
                    <w:b/>
                    <w:bCs/>
                    <w:sz w:val="26"/>
                    <w:szCs w:val="26"/>
                    <w:rtl/>
                  </w:rPr>
                  <w:t>נאש</w:t>
                </w:r>
                <w:r>
                  <w:rPr>
                    <w:rFonts w:ascii="David" w:hAnsi="David"/>
                    <w:b/>
                    <w:bCs/>
                    <w:sz w:val="26"/>
                    <w:szCs w:val="26"/>
                    <w:rtl/>
                  </w:rPr>
                  <w:t>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3D7DEE" w:rsidRDefault="003D7DEE" w:rsidP="003D7DEE">
      <w:pPr>
        <w:spacing w:before="160" w:line="360" w:lineRule="auto"/>
        <w:rPr>
          <w:rFonts w:ascii="David" w:hAnsi="David"/>
          <w:b/>
          <w:bCs/>
          <w:rtl/>
        </w:rPr>
      </w:pPr>
      <w:r>
        <w:rPr>
          <w:rFonts w:ascii="David" w:hAnsi="David"/>
          <w:b/>
          <w:bCs/>
          <w:rtl/>
        </w:rPr>
        <w:t>אני מזכה את הנאשם מהעבירה המיוחסת לו בכתב האישום.</w:t>
      </w:r>
    </w:p>
    <w:p w:rsidR="003D7DEE" w:rsidRDefault="003D7DEE" w:rsidP="003D7DEE">
      <w:pPr>
        <w:spacing w:before="160"/>
        <w:rPr>
          <w:rFonts w:ascii="David" w:hAnsi="David"/>
          <w:b/>
          <w:bCs/>
        </w:rPr>
      </w:pPr>
    </w:p>
    <w:p w:rsidR="003D7DEE" w:rsidRDefault="003D7DEE" w:rsidP="003D7DEE">
      <w:pPr>
        <w:spacing w:before="160" w:line="360" w:lineRule="auto"/>
        <w:rPr>
          <w:rFonts w:ascii="David" w:hAnsi="David"/>
          <w:b/>
          <w:bCs/>
        </w:rPr>
      </w:pPr>
      <w:r>
        <w:rPr>
          <w:rFonts w:ascii="David" w:hAnsi="David"/>
          <w:b/>
          <w:bCs/>
          <w:rtl/>
        </w:rPr>
        <w:t>רקע וההליך עד כה</w:t>
      </w:r>
    </w:p>
    <w:p w:rsidR="003D7DEE" w:rsidRDefault="007C1799" w:rsidP="007C1799">
      <w:pPr>
        <w:pStyle w:val="aa"/>
        <w:numPr>
          <w:ilvl w:val="0"/>
          <w:numId w:val="7"/>
        </w:numPr>
        <w:spacing w:before="160" w:line="360" w:lineRule="auto"/>
        <w:ind w:left="357" w:hanging="357"/>
        <w:contextualSpacing w:val="0"/>
        <w:jc w:val="both"/>
        <w:rPr>
          <w:rFonts w:ascii="David" w:hAnsi="David" w:cs="David"/>
          <w:sz w:val="24"/>
          <w:szCs w:val="24"/>
          <w:rtl/>
        </w:rPr>
      </w:pPr>
      <w:r>
        <w:rPr>
          <w:rFonts w:ascii="David" w:hAnsi="David" w:cs="David" w:hint="cs"/>
          <w:sz w:val="24"/>
          <w:szCs w:val="24"/>
          <w:rtl/>
        </w:rPr>
        <w:t xml:space="preserve">עניינו של כתב האישום הוא העמדת רכבו של הנאשם </w:t>
      </w:r>
      <w:r w:rsidR="003D7DEE">
        <w:rPr>
          <w:rFonts w:ascii="David" w:hAnsi="David" w:cs="David"/>
          <w:sz w:val="24"/>
          <w:szCs w:val="24"/>
          <w:rtl/>
        </w:rPr>
        <w:t xml:space="preserve">ביום 26.10.2022 בשעה 12:41 </w:t>
      </w:r>
      <w:r>
        <w:rPr>
          <w:rFonts w:ascii="David" w:hAnsi="David" w:cs="David"/>
          <w:sz w:val="24"/>
          <w:szCs w:val="24"/>
          <w:rtl/>
        </w:rPr>
        <w:t>ברחוב החרושת 13 בת ים</w:t>
      </w:r>
      <w:r>
        <w:rPr>
          <w:rFonts w:ascii="David" w:hAnsi="David" w:cs="David" w:hint="cs"/>
          <w:sz w:val="24"/>
          <w:szCs w:val="24"/>
          <w:rtl/>
        </w:rPr>
        <w:t xml:space="preserve"> תוך </w:t>
      </w:r>
      <w:proofErr w:type="spellStart"/>
      <w:r>
        <w:rPr>
          <w:rFonts w:ascii="David" w:hAnsi="David" w:cs="David"/>
          <w:sz w:val="24"/>
          <w:szCs w:val="24"/>
          <w:rtl/>
        </w:rPr>
        <w:t>אי</w:t>
      </w:r>
      <w:r>
        <w:rPr>
          <w:rFonts w:ascii="David" w:hAnsi="David" w:cs="David" w:hint="cs"/>
          <w:sz w:val="24"/>
          <w:szCs w:val="24"/>
          <w:rtl/>
        </w:rPr>
        <w:t>־</w:t>
      </w:r>
      <w:r w:rsidR="003D7DEE">
        <w:rPr>
          <w:rFonts w:ascii="David" w:hAnsi="David" w:cs="David"/>
          <w:sz w:val="24"/>
          <w:szCs w:val="24"/>
          <w:rtl/>
        </w:rPr>
        <w:t>ציות</w:t>
      </w:r>
      <w:proofErr w:type="spellEnd"/>
      <w:r w:rsidR="003D7DEE">
        <w:rPr>
          <w:rFonts w:ascii="David" w:hAnsi="David" w:cs="David"/>
          <w:sz w:val="24"/>
          <w:szCs w:val="24"/>
          <w:rtl/>
        </w:rPr>
        <w:t xml:space="preserve"> לתמרור האוסר חניה, עבירה לפי סעיף 7 לחוק העזר לבת ים (העמדת רכב וחנייתו), </w:t>
      </w:r>
      <w:proofErr w:type="spellStart"/>
      <w:r w:rsidR="003D7DEE">
        <w:rPr>
          <w:rFonts w:ascii="David" w:hAnsi="David" w:cs="David"/>
          <w:sz w:val="24"/>
          <w:szCs w:val="24"/>
          <w:rtl/>
        </w:rPr>
        <w:t>תש"ף</w:t>
      </w:r>
      <w:proofErr w:type="spellEnd"/>
      <w:r w:rsidR="003D7DEE">
        <w:rPr>
          <w:rFonts w:ascii="David" w:hAnsi="David" w:cs="David"/>
          <w:sz w:val="24"/>
          <w:szCs w:val="24"/>
          <w:rtl/>
        </w:rPr>
        <w:t xml:space="preserve">–2020 (דוח מס' 206989-2-4, להלן: </w:t>
      </w:r>
      <w:r w:rsidR="003D7DEE" w:rsidRPr="007C1799">
        <w:rPr>
          <w:rFonts w:ascii="David" w:hAnsi="David" w:cs="David"/>
          <w:b/>
          <w:bCs/>
          <w:sz w:val="24"/>
          <w:szCs w:val="24"/>
          <w:rtl/>
        </w:rPr>
        <w:t>הדוח</w:t>
      </w:r>
      <w:r w:rsidR="003D7DEE">
        <w:rPr>
          <w:rFonts w:ascii="David" w:hAnsi="David" w:cs="David"/>
          <w:sz w:val="24"/>
          <w:szCs w:val="24"/>
          <w:rtl/>
        </w:rPr>
        <w:t xml:space="preserve">). </w:t>
      </w:r>
    </w:p>
    <w:p w:rsidR="003D7DEE" w:rsidRDefault="003D7DEE" w:rsidP="00EC5582">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מדובר בעבירה מסוג ברירת משפט</w:t>
      </w:r>
      <w:r w:rsidR="00EC5582">
        <w:rPr>
          <w:rFonts w:ascii="David" w:hAnsi="David" w:cs="David" w:hint="cs"/>
          <w:sz w:val="24"/>
          <w:szCs w:val="24"/>
          <w:rtl/>
        </w:rPr>
        <w:t xml:space="preserve">. </w:t>
      </w:r>
      <w:r>
        <w:rPr>
          <w:rFonts w:ascii="David" w:hAnsi="David" w:cs="David"/>
          <w:sz w:val="24"/>
          <w:szCs w:val="24"/>
          <w:rtl/>
        </w:rPr>
        <w:t xml:space="preserve">הנאשם ביקש להישפט והתיק נקבע לשמיעת ראיות לפני. </w:t>
      </w:r>
    </w:p>
    <w:p w:rsidR="003D7DEE" w:rsidRDefault="003D7DEE" w:rsidP="00B75B01">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במקביל, הוגש כנגד הנאשם כתב אישום נוסף, בגין העמדת אותו הרכב באותו המקום ביום 18.01.2022 (</w:t>
      </w:r>
      <w:r>
        <w:rPr>
          <w:rFonts w:ascii="David" w:hAnsi="David" w:cs="David"/>
          <w:b/>
          <w:bCs/>
          <w:sz w:val="24"/>
          <w:szCs w:val="24"/>
          <w:rtl/>
        </w:rPr>
        <w:t>ח"נ 48487-12-23</w:t>
      </w:r>
      <w:r w:rsidR="00B75B01">
        <w:rPr>
          <w:rFonts w:ascii="David" w:hAnsi="David" w:cs="David" w:hint="cs"/>
          <w:sz w:val="24"/>
          <w:szCs w:val="24"/>
          <w:rtl/>
        </w:rPr>
        <w:t xml:space="preserve">; להלן: </w:t>
      </w:r>
      <w:r w:rsidR="00B75B01" w:rsidRPr="00B75B01">
        <w:rPr>
          <w:rFonts w:ascii="David" w:hAnsi="David" w:cs="David" w:hint="cs"/>
          <w:b/>
          <w:bCs/>
          <w:sz w:val="24"/>
          <w:szCs w:val="24"/>
          <w:rtl/>
        </w:rPr>
        <w:t>התיק הנוסף</w:t>
      </w:r>
      <w:r>
        <w:rPr>
          <w:rFonts w:ascii="David" w:hAnsi="David" w:cs="David"/>
          <w:sz w:val="24"/>
          <w:szCs w:val="24"/>
          <w:rtl/>
        </w:rPr>
        <w:t xml:space="preserve">). הנאשם כפר גם בתיק </w:t>
      </w:r>
      <w:r w:rsidR="00B75B01">
        <w:rPr>
          <w:rFonts w:ascii="David" w:hAnsi="David" w:cs="David" w:hint="cs"/>
          <w:sz w:val="24"/>
          <w:szCs w:val="24"/>
          <w:rtl/>
        </w:rPr>
        <w:t xml:space="preserve">הנוסף </w:t>
      </w:r>
      <w:r>
        <w:rPr>
          <w:rFonts w:ascii="David" w:hAnsi="David" w:cs="David"/>
          <w:sz w:val="24"/>
          <w:szCs w:val="24"/>
          <w:rtl/>
        </w:rPr>
        <w:t>ושני התיקים נקבעו לשמיעת ראיות במאוחד באותו מועד. בפתח ישיבת ההוכחות ביום 02.06.2024 העלה הנאשם טענה לפיה מועד אישור תמרור המעטפת המסומן על המדרכה מאוחר למועד רישום הדוח</w:t>
      </w:r>
      <w:r w:rsidR="00B75B01">
        <w:rPr>
          <w:rFonts w:ascii="David" w:hAnsi="David" w:cs="David" w:hint="cs"/>
          <w:sz w:val="24"/>
          <w:szCs w:val="24"/>
          <w:rtl/>
        </w:rPr>
        <w:t xml:space="preserve"> בתיק הנוסף</w:t>
      </w:r>
      <w:r>
        <w:rPr>
          <w:rFonts w:ascii="David" w:hAnsi="David" w:cs="David"/>
          <w:sz w:val="24"/>
          <w:szCs w:val="24"/>
          <w:rtl/>
        </w:rPr>
        <w:t xml:space="preserve">. </w:t>
      </w:r>
      <w:r w:rsidR="00B75B01">
        <w:rPr>
          <w:rFonts w:ascii="David" w:hAnsi="David" w:cs="David" w:hint="cs"/>
          <w:sz w:val="24"/>
          <w:szCs w:val="24"/>
          <w:rtl/>
        </w:rPr>
        <w:t xml:space="preserve">באותו מעמד, הודיעה המאשימה על חזרתה מכתב האישום בתיק הנוסף. </w:t>
      </w:r>
      <w:r>
        <w:rPr>
          <w:rFonts w:ascii="David" w:hAnsi="David" w:cs="David"/>
          <w:sz w:val="24"/>
          <w:szCs w:val="24"/>
          <w:rtl/>
        </w:rPr>
        <w:t xml:space="preserve">בשים לב </w:t>
      </w:r>
      <w:r w:rsidR="00B75B01">
        <w:rPr>
          <w:rFonts w:ascii="David" w:hAnsi="David" w:cs="David" w:hint="cs"/>
          <w:sz w:val="24"/>
          <w:szCs w:val="24"/>
          <w:rtl/>
        </w:rPr>
        <w:t xml:space="preserve">לשלב הדיוני ולעובדה </w:t>
      </w:r>
      <w:r>
        <w:rPr>
          <w:rFonts w:ascii="David" w:hAnsi="David" w:cs="David"/>
          <w:sz w:val="24"/>
          <w:szCs w:val="24"/>
          <w:rtl/>
        </w:rPr>
        <w:t xml:space="preserve">שהודעת המאשימה על חזרה מכתב האישום </w:t>
      </w:r>
      <w:r w:rsidR="00B75B01">
        <w:rPr>
          <w:rFonts w:ascii="David" w:hAnsi="David" w:cs="David" w:hint="cs"/>
          <w:sz w:val="24"/>
          <w:szCs w:val="24"/>
          <w:rtl/>
        </w:rPr>
        <w:t xml:space="preserve">נמסרה </w:t>
      </w:r>
      <w:r>
        <w:rPr>
          <w:rFonts w:ascii="David" w:hAnsi="David" w:cs="David"/>
          <w:sz w:val="24"/>
          <w:szCs w:val="24"/>
          <w:rtl/>
        </w:rPr>
        <w:t xml:space="preserve">לאחר שהנאשם כפר – הנאשם </w:t>
      </w:r>
      <w:r>
        <w:rPr>
          <w:rFonts w:ascii="David" w:hAnsi="David" w:cs="David"/>
          <w:sz w:val="24"/>
          <w:szCs w:val="24"/>
          <w:u w:val="single"/>
          <w:rtl/>
        </w:rPr>
        <w:t>זוכה</w:t>
      </w:r>
      <w:r>
        <w:rPr>
          <w:rFonts w:ascii="David" w:hAnsi="David" w:cs="David"/>
          <w:sz w:val="24"/>
          <w:szCs w:val="24"/>
          <w:rtl/>
        </w:rPr>
        <w:t xml:space="preserve"> מתיק זה, וההליך המשיך להתנהל בתיק שבכותרת בלבד.</w:t>
      </w:r>
    </w:p>
    <w:p w:rsidR="003D7DEE" w:rsidRPr="00453217" w:rsidRDefault="003D7DEE" w:rsidP="006002EC">
      <w:pPr>
        <w:pStyle w:val="aa"/>
        <w:numPr>
          <w:ilvl w:val="0"/>
          <w:numId w:val="7"/>
        </w:numPr>
        <w:spacing w:before="160" w:line="360" w:lineRule="auto"/>
        <w:ind w:left="357" w:hanging="357"/>
        <w:contextualSpacing w:val="0"/>
        <w:jc w:val="both"/>
        <w:rPr>
          <w:rFonts w:ascii="David" w:hAnsi="David" w:cs="David"/>
          <w:sz w:val="24"/>
          <w:szCs w:val="24"/>
        </w:rPr>
      </w:pPr>
      <w:r w:rsidRPr="006002EC">
        <w:rPr>
          <w:rFonts w:ascii="David" w:hAnsi="David" w:cs="David"/>
          <w:sz w:val="24"/>
          <w:szCs w:val="24"/>
          <w:rtl/>
        </w:rPr>
        <w:t>להשלמת התמונה יובהר כי בישיבת הכפירה מיום 21.01.2024 המחלוקת בין הצדדים נסבה על השאלה האם במקום ברז כיבוי והאם הנאשם עמד במרחק של יותר מ-2 מטר מהברז</w:t>
      </w:r>
      <w:r w:rsidR="006002EC">
        <w:rPr>
          <w:rFonts w:ascii="David" w:hAnsi="David" w:cs="David" w:hint="cs"/>
          <w:sz w:val="24"/>
          <w:szCs w:val="24"/>
          <w:rtl/>
        </w:rPr>
        <w:t xml:space="preserve">, </w:t>
      </w:r>
      <w:r w:rsidRPr="006002EC">
        <w:rPr>
          <w:rFonts w:ascii="David" w:hAnsi="David" w:cs="David"/>
          <w:sz w:val="24"/>
          <w:szCs w:val="24"/>
          <w:rtl/>
        </w:rPr>
        <w:t>חניה האסורה גם לרכב נכה, לפי סעיף 3(8) לחוק החניה לנכים</w:t>
      </w:r>
      <w:r w:rsidR="006002EC" w:rsidRPr="006002EC">
        <w:rPr>
          <w:rFonts w:ascii="David" w:hAnsi="David" w:cs="David"/>
          <w:sz w:val="24"/>
          <w:szCs w:val="24"/>
          <w:rtl/>
        </w:rPr>
        <w:t>, תשנ"ד-1993</w:t>
      </w:r>
      <w:r w:rsidR="006002EC">
        <w:rPr>
          <w:rFonts w:ascii="David" w:hAnsi="David" w:cs="David" w:hint="cs"/>
          <w:sz w:val="24"/>
          <w:szCs w:val="24"/>
          <w:rtl/>
        </w:rPr>
        <w:t xml:space="preserve"> (להלן: </w:t>
      </w:r>
      <w:r w:rsidR="006002EC" w:rsidRPr="006002EC">
        <w:rPr>
          <w:rFonts w:ascii="David" w:hAnsi="David" w:cs="David" w:hint="cs"/>
          <w:b/>
          <w:bCs/>
          <w:sz w:val="24"/>
          <w:szCs w:val="24"/>
          <w:rtl/>
        </w:rPr>
        <w:t>חוק חניה לנכים</w:t>
      </w:r>
      <w:r w:rsidR="006002EC" w:rsidRPr="006002EC">
        <w:rPr>
          <w:rFonts w:ascii="David" w:hAnsi="David" w:cs="David" w:hint="cs"/>
          <w:sz w:val="24"/>
          <w:szCs w:val="24"/>
          <w:rtl/>
        </w:rPr>
        <w:t xml:space="preserve">). </w:t>
      </w:r>
      <w:r w:rsidRPr="006002EC">
        <w:rPr>
          <w:rFonts w:ascii="David" w:hAnsi="David" w:cs="David"/>
          <w:sz w:val="24"/>
          <w:szCs w:val="24"/>
          <w:rtl/>
        </w:rPr>
        <w:t>הדיון סביב קיומה או העדרה של ברז הכיבוי ב</w:t>
      </w:r>
      <w:r w:rsidR="006002EC">
        <w:rPr>
          <w:rFonts w:ascii="David" w:hAnsi="David" w:cs="David" w:hint="cs"/>
          <w:sz w:val="24"/>
          <w:szCs w:val="24"/>
          <w:rtl/>
        </w:rPr>
        <w:t>א בהמשך ל</w:t>
      </w:r>
      <w:r w:rsidRPr="006002EC">
        <w:rPr>
          <w:rFonts w:ascii="David" w:hAnsi="David" w:cs="David"/>
          <w:sz w:val="24"/>
          <w:szCs w:val="24"/>
          <w:rtl/>
        </w:rPr>
        <w:t xml:space="preserve">ישיבת הכפירה שהתקיימה שבועיים לפני כן, ביום 07.01.2024, בתיק </w:t>
      </w:r>
      <w:r w:rsidR="006002EC">
        <w:rPr>
          <w:rFonts w:ascii="David" w:hAnsi="David" w:cs="David" w:hint="cs"/>
          <w:sz w:val="24"/>
          <w:szCs w:val="24"/>
          <w:rtl/>
        </w:rPr>
        <w:t xml:space="preserve">הנוסף. </w:t>
      </w:r>
      <w:r w:rsidRPr="006002EC">
        <w:rPr>
          <w:rFonts w:ascii="David" w:hAnsi="David" w:cs="David"/>
          <w:sz w:val="24"/>
          <w:szCs w:val="24"/>
          <w:rtl/>
        </w:rPr>
        <w:t>שם</w:t>
      </w:r>
      <w:r w:rsidR="006002EC">
        <w:rPr>
          <w:rFonts w:ascii="David" w:hAnsi="David" w:cs="David" w:hint="cs"/>
          <w:sz w:val="24"/>
          <w:szCs w:val="24"/>
          <w:rtl/>
        </w:rPr>
        <w:t>,</w:t>
      </w:r>
      <w:r w:rsidRPr="006002EC">
        <w:rPr>
          <w:rFonts w:ascii="David" w:hAnsi="David" w:cs="David"/>
          <w:sz w:val="24"/>
          <w:szCs w:val="24"/>
          <w:rtl/>
        </w:rPr>
        <w:t xml:space="preserve"> בפתח הדיון הצהיר ב"כ המאשימה</w:t>
      </w:r>
      <w:r w:rsidRPr="00453217">
        <w:rPr>
          <w:rFonts w:ascii="David" w:hAnsi="David" w:cs="David"/>
          <w:sz w:val="24"/>
          <w:szCs w:val="24"/>
          <w:rtl/>
        </w:rPr>
        <w:t xml:space="preserve"> </w:t>
      </w:r>
      <w:r w:rsidRPr="00453217">
        <w:rPr>
          <w:rFonts w:ascii="David" w:hAnsi="David" w:cs="David"/>
          <w:b/>
          <w:bCs/>
          <w:sz w:val="24"/>
          <w:szCs w:val="24"/>
          <w:rtl/>
        </w:rPr>
        <w:t>"הרכב של הנאשם חונה בתוך מעטפת חירום שבעצם הפניה לסעיף 3(6) יש איסור מפורש גם לרכב נכה לחנות בתחום 2 מ' מברז כיבוי כאשר התחום מסומן. רואים שהנאשם מחנה באופן ברור על מעטפת חירום</w:t>
      </w:r>
      <w:r w:rsidR="00453217">
        <w:rPr>
          <w:rFonts w:ascii="David" w:hAnsi="David" w:cs="David" w:hint="cs"/>
          <w:sz w:val="24"/>
          <w:szCs w:val="24"/>
          <w:rtl/>
        </w:rPr>
        <w:t>"</w:t>
      </w:r>
      <w:r w:rsidRPr="00453217">
        <w:rPr>
          <w:rFonts w:ascii="David" w:hAnsi="David" w:cs="David"/>
          <w:sz w:val="24"/>
          <w:szCs w:val="24"/>
          <w:rtl/>
        </w:rPr>
        <w:t xml:space="preserve"> ובהמשך: </w:t>
      </w:r>
      <w:r w:rsidRPr="00453217">
        <w:rPr>
          <w:rFonts w:ascii="David" w:hAnsi="David" w:cs="David"/>
          <w:b/>
          <w:bCs/>
          <w:sz w:val="24"/>
          <w:szCs w:val="24"/>
          <w:rtl/>
        </w:rPr>
        <w:t>"אמור להיות מאחור ברז אני לא רואה כרגע בתמונות"</w:t>
      </w:r>
      <w:r w:rsidRPr="00453217">
        <w:rPr>
          <w:rFonts w:ascii="David" w:hAnsi="David" w:cs="David"/>
          <w:sz w:val="24"/>
          <w:szCs w:val="24"/>
          <w:rtl/>
        </w:rPr>
        <w:t xml:space="preserve"> (עמ' 1–2 לפרוטוקול ח"נ 48487-12-23).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על כן, ובשים לב לעמדת המאשימה בתיק האחר, התעוררה מטבע הדברים גם בתיק שלפניי סוגיית מיקום ברז הכיבוי וב"כ המאשימה ביקש שהות לבדוק את הדברים: </w:t>
      </w:r>
      <w:r>
        <w:rPr>
          <w:rFonts w:ascii="David" w:hAnsi="David" w:cs="David"/>
          <w:b/>
          <w:bCs/>
          <w:sz w:val="24"/>
          <w:szCs w:val="24"/>
          <w:rtl/>
        </w:rPr>
        <w:t>"עו"ד מץ שמעה את טענות הנאשם ואני אבקש מביהמ"ש 30 יום כדי לבדוק מול מנהל מח' התשתיות את מיקום ברז הכיבוי. ככל שהטענה של הנאשם מוצדקת שאכן אין ברז בתחום של 2 מטרים שהסעיף בחוק חנית נכים מציין ושאין הפרעה כלשהי לרכב חירום אז נודיע לביהמ"ש אם אנחנו עומדים על האישום"</w:t>
      </w:r>
      <w:r>
        <w:rPr>
          <w:rFonts w:ascii="David" w:hAnsi="David" w:cs="David"/>
          <w:sz w:val="24"/>
          <w:szCs w:val="24"/>
          <w:rtl/>
        </w:rPr>
        <w:t xml:space="preserve"> (עמ' 2 לפרוטוקול 21.01.2024).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בהמשך, המאשימה הודיעה כי היא עומדת על כתב האישום, ובתשובתה בכתב לעתירת הנאשם לביטול כתב האישום מיקדה את המחלוקת בשאלת התקיימות התנאים המפורטים בסעיף 2 לחוק החניה לנכים, לאמור – לא עמדה עוד על הטענה (שהועלתה על ידה) כי הרכב נאכף לאור העמדתו בסמוך לברז הכיבוי. </w:t>
      </w:r>
    </w:p>
    <w:p w:rsidR="006002EC" w:rsidRDefault="006002EC" w:rsidP="006002EC">
      <w:pPr>
        <w:pStyle w:val="aa"/>
        <w:spacing w:before="160" w:line="360" w:lineRule="auto"/>
        <w:ind w:left="357"/>
        <w:contextualSpacing w:val="0"/>
        <w:jc w:val="both"/>
        <w:rPr>
          <w:rFonts w:ascii="David" w:hAnsi="David" w:cs="David"/>
          <w:sz w:val="24"/>
          <w:szCs w:val="24"/>
        </w:rPr>
      </w:pPr>
    </w:p>
    <w:p w:rsidR="003D7DEE" w:rsidRDefault="003D7DEE" w:rsidP="003D7DEE">
      <w:pPr>
        <w:spacing w:before="160" w:line="360" w:lineRule="auto"/>
        <w:jc w:val="both"/>
        <w:rPr>
          <w:rFonts w:ascii="David" w:hAnsi="David"/>
          <w:b/>
          <w:bCs/>
          <w:rtl/>
        </w:rPr>
      </w:pPr>
      <w:r>
        <w:rPr>
          <w:rFonts w:ascii="David" w:hAnsi="David"/>
          <w:b/>
          <w:bCs/>
          <w:rtl/>
        </w:rPr>
        <w:t xml:space="preserve">גדר המחלוקת ושמיעת הראיות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אין מחלוקת כי הנאשם העמיד את רכבו באותו מועד על המדרכה בצמוד לקיר המבנה, כפי שגם ניבט מן התמונות שצולמו במועד מתן הדוח והוגשו לתיק (</w:t>
      </w:r>
      <w:r>
        <w:rPr>
          <w:rFonts w:ascii="David" w:hAnsi="David" w:cs="David"/>
          <w:b/>
          <w:bCs/>
          <w:sz w:val="24"/>
          <w:szCs w:val="24"/>
          <w:rtl/>
        </w:rPr>
        <w:t>ת/1</w:t>
      </w:r>
      <w:r>
        <w:rPr>
          <w:rFonts w:ascii="David" w:hAnsi="David" w:cs="David"/>
          <w:sz w:val="24"/>
          <w:szCs w:val="24"/>
          <w:rtl/>
        </w:rPr>
        <w:t xml:space="preserve">). אין גם מחלוקת כי רכבו של הנאשם </w:t>
      </w:r>
      <w:r>
        <w:rPr>
          <w:rFonts w:ascii="David" w:hAnsi="David" w:cs="David"/>
          <w:b/>
          <w:bCs/>
          <w:sz w:val="24"/>
          <w:szCs w:val="24"/>
          <w:rtl/>
        </w:rPr>
        <w:t>נושא תג נכה</w:t>
      </w:r>
      <w:r>
        <w:rPr>
          <w:rFonts w:ascii="David" w:hAnsi="David" w:cs="David"/>
          <w:sz w:val="24"/>
          <w:szCs w:val="24"/>
          <w:rtl/>
        </w:rPr>
        <w:t xml:space="preserve">. אין חולק גם כי בדוח שנרשם על ידי הפקח לא מופיעה התייחסות לכך שהרכב נושא תג נכה.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הצדדים חלוקים ביניהם בשאלה האם התקיימו התנאים המאפשרים העמדת רכב הנושא תג נכה במקום שאין החניה מותרת בו, בשאלה האם נפל פגם בדוח בגין אי רישום עובדת היות הרכב נכה וכן בשאלת חוקיות תמרור המעטפה המשורטט על המדרכה.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b/>
          <w:bCs/>
          <w:sz w:val="24"/>
          <w:szCs w:val="24"/>
          <w:rtl/>
        </w:rPr>
        <w:t xml:space="preserve">מטעם המאשימה העיד הפקח, מר בני מזיג. </w:t>
      </w:r>
      <w:r>
        <w:rPr>
          <w:rFonts w:ascii="David" w:hAnsi="David" w:cs="David"/>
          <w:sz w:val="24"/>
          <w:szCs w:val="24"/>
          <w:rtl/>
        </w:rPr>
        <w:t>הפקח העיד כי רשם את הדוח (</w:t>
      </w:r>
      <w:r>
        <w:rPr>
          <w:rFonts w:ascii="David" w:hAnsi="David" w:cs="David"/>
          <w:b/>
          <w:bCs/>
          <w:sz w:val="24"/>
          <w:szCs w:val="24"/>
          <w:rtl/>
        </w:rPr>
        <w:t>ת/1</w:t>
      </w:r>
      <w:r>
        <w:rPr>
          <w:rFonts w:ascii="David" w:hAnsi="David" w:cs="David"/>
          <w:sz w:val="24"/>
          <w:szCs w:val="24"/>
          <w:rtl/>
        </w:rPr>
        <w:t>) מאחר שהרכב עמד ברחבת כיבוי אש וחסם את הרחבה. הפקח הפנה לשלט האוסר על החניה במקום וציין בעדותו כי גם רכבים אחרים שחנו ברחבת כיבוי האש נאכפו על ידו כיוון שמדובר ברחבת הצלה והדוחות שנרשמו לרכבים אחרים הוגשו בהסכמת הנאשם (</w:t>
      </w:r>
      <w:r>
        <w:rPr>
          <w:rFonts w:ascii="David" w:hAnsi="David" w:cs="David"/>
          <w:b/>
          <w:bCs/>
          <w:sz w:val="24"/>
          <w:szCs w:val="24"/>
          <w:rtl/>
        </w:rPr>
        <w:t>ת/2–ת/3</w:t>
      </w:r>
      <w:r>
        <w:rPr>
          <w:rFonts w:ascii="David" w:hAnsi="David" w:cs="David"/>
          <w:sz w:val="24"/>
          <w:szCs w:val="24"/>
          <w:rtl/>
        </w:rPr>
        <w:t>). בנוסף, הפקח ציין שמות של רחובות באזור בהם קיימות חניות לנכים וחניות בכחול לבן. לבסוף המאשימה ביקשה להגיש באמצעות הפקח, מסמך ממוחשב שהופק ובו רשומים פרטי הדוח וכן סימון ירוק לצד התיבה "רכב נכה". הפקח הסביר כי בבואו לרשום את הדוח מופיע לפניו במסוף האם  מדובר ברכב נכה וכי בסיום רישום הדוח קופצת הודעה נוספת לפיה מדובר ברכב נכה ואותה מתבקש הפקח לסמן. הפקח העיד בחקירתו הנגדית כי ללא הדוח לא יופק ככל שהפקח לא יסמן את התיבה המבהירה שמדובר ברכב נכה. הנאשם התנגד להגשה והמסמך התקבל לתיק (</w:t>
      </w:r>
      <w:r>
        <w:rPr>
          <w:rFonts w:ascii="David" w:hAnsi="David" w:cs="David"/>
          <w:b/>
          <w:bCs/>
          <w:sz w:val="24"/>
          <w:szCs w:val="24"/>
          <w:rtl/>
        </w:rPr>
        <w:t>ת/4</w:t>
      </w:r>
      <w:r>
        <w:rPr>
          <w:rFonts w:ascii="David" w:hAnsi="David" w:cs="David"/>
          <w:sz w:val="24"/>
          <w:szCs w:val="24"/>
          <w:rtl/>
        </w:rPr>
        <w:t xml:space="preserve">) תוך שנשמרו טענות הצדדים באשר לקבילותו ומשקלו. בחקירתו הנגדית ציין הפקח כי כל רכב שעומד על רחבת כיבוי האש ייאכף ללא שיקול דעת, ובחקירתו החוזרת הדגיש כי מבחינתו, כל חניה בתחום המעטפה מהווה הפרעה. </w:t>
      </w:r>
    </w:p>
    <w:p w:rsidR="003D7DEE" w:rsidRDefault="003D7DEE" w:rsidP="0028088A">
      <w:pPr>
        <w:pStyle w:val="aa"/>
        <w:numPr>
          <w:ilvl w:val="0"/>
          <w:numId w:val="7"/>
        </w:numPr>
        <w:spacing w:before="160" w:line="360" w:lineRule="auto"/>
        <w:ind w:left="357" w:hanging="357"/>
        <w:contextualSpacing w:val="0"/>
        <w:jc w:val="both"/>
        <w:rPr>
          <w:rFonts w:ascii="David" w:hAnsi="David" w:cs="David"/>
          <w:b/>
          <w:bCs/>
          <w:sz w:val="24"/>
          <w:szCs w:val="24"/>
        </w:rPr>
      </w:pPr>
      <w:r>
        <w:rPr>
          <w:rFonts w:ascii="David" w:hAnsi="David" w:cs="David"/>
          <w:b/>
          <w:bCs/>
          <w:sz w:val="24"/>
          <w:szCs w:val="24"/>
          <w:rtl/>
        </w:rPr>
        <w:t xml:space="preserve">הנאשם, עורך דין במקצועו, ייצג את עצמו והעיד להגנתו. </w:t>
      </w:r>
      <w:r>
        <w:rPr>
          <w:rFonts w:ascii="David" w:hAnsi="David" w:cs="David"/>
          <w:sz w:val="24"/>
          <w:szCs w:val="24"/>
          <w:rtl/>
        </w:rPr>
        <w:t>ציין</w:t>
      </w:r>
      <w:r>
        <w:rPr>
          <w:rFonts w:ascii="David" w:hAnsi="David" w:cs="David"/>
          <w:b/>
          <w:bCs/>
          <w:sz w:val="24"/>
          <w:szCs w:val="24"/>
          <w:rtl/>
        </w:rPr>
        <w:t xml:space="preserve"> </w:t>
      </w:r>
      <w:r>
        <w:rPr>
          <w:rFonts w:ascii="David" w:hAnsi="David" w:cs="David"/>
          <w:sz w:val="24"/>
          <w:szCs w:val="24"/>
          <w:rtl/>
        </w:rPr>
        <w:t xml:space="preserve">כי באותו היום עשה סיבוב ומשלא מצא חניה העמיד את הרכב באותו אופן תוך שהקפיד שלא להפריע לאחרים ורשם פתק לפקח כי הוא חונה בחניית נכה. ציין כי הוא נושא תעודת נכה מאז שנת 2012 לאור ניתוחים שעבר וכי הוא מקפיד לשמור על הוראות החוק בעניין זה. הנאשם הדגיש כי עשה סיבוב אחד או שניים ברחובות הסמוכים וכי הוא סובל מבעיה הגורמת לו לעתים ליפול תוך כדי הליכה ועל כן זקוק למקום חניה קרוב. עוד הפנה לכך </w:t>
      </w:r>
      <w:r w:rsidR="0028088A">
        <w:rPr>
          <w:rFonts w:ascii="David" w:hAnsi="David" w:cs="David" w:hint="cs"/>
          <w:sz w:val="24"/>
          <w:szCs w:val="24"/>
          <w:rtl/>
        </w:rPr>
        <w:t>ש</w:t>
      </w:r>
      <w:r>
        <w:rPr>
          <w:rFonts w:ascii="David" w:hAnsi="David" w:cs="David"/>
          <w:sz w:val="24"/>
          <w:szCs w:val="24"/>
          <w:rtl/>
        </w:rPr>
        <w:t xml:space="preserve">ברחוב החרושת אין חניון להיכנס אליו וכי חניון שקיים ליד הסופר משמש למנויים בלבד. הנאשם ציין שבמקום אין מקומות חניה ייעודיים לנכים או חניות בכחול-לבן. הנאשם הדגיש כי רוחב רכבו הוא 1.86 מ' וכי הרכב חדר לשטח המעטפת כ-20 ס"מ בלבד.  </w:t>
      </w:r>
    </w:p>
    <w:p w:rsidR="003D7DEE" w:rsidRDefault="003D7DEE" w:rsidP="003D7DEE">
      <w:pPr>
        <w:spacing w:before="160" w:line="360" w:lineRule="auto"/>
        <w:jc w:val="both"/>
        <w:rPr>
          <w:rFonts w:ascii="David" w:hAnsi="David"/>
          <w:b/>
          <w:bCs/>
        </w:rPr>
      </w:pPr>
    </w:p>
    <w:p w:rsidR="003D7DEE" w:rsidRDefault="003D7DEE" w:rsidP="003D7DEE">
      <w:pPr>
        <w:spacing w:before="160" w:line="360" w:lineRule="auto"/>
        <w:jc w:val="both"/>
        <w:rPr>
          <w:rFonts w:ascii="David" w:hAnsi="David"/>
          <w:b/>
          <w:bCs/>
          <w:rtl/>
        </w:rPr>
      </w:pPr>
      <w:r>
        <w:rPr>
          <w:rFonts w:ascii="David" w:hAnsi="David"/>
          <w:b/>
          <w:bCs/>
          <w:rtl/>
        </w:rPr>
        <w:t>דיון והכרעה</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חוק חניה לנכים מאפשר לרכב הנושא תג נכה לחנות במקום שאין החניה מותרת בו באופן רגיל לרכבים אחרים, וזאת בהתקיים ארבעה תנאים מצטברים</w:t>
      </w:r>
      <w:r w:rsidR="006002EC">
        <w:rPr>
          <w:rFonts w:ascii="David" w:hAnsi="David" w:cs="David" w:hint="cs"/>
          <w:sz w:val="24"/>
          <w:szCs w:val="24"/>
          <w:rtl/>
        </w:rPr>
        <w:t xml:space="preserve"> המפורטים בסעיף 2</w:t>
      </w:r>
      <w:r>
        <w:rPr>
          <w:rFonts w:ascii="David" w:hAnsi="David" w:cs="David"/>
          <w:sz w:val="24"/>
          <w:szCs w:val="24"/>
          <w:rtl/>
        </w:rPr>
        <w:t>:</w:t>
      </w:r>
    </w:p>
    <w:p w:rsidR="003D7DEE" w:rsidRDefault="00453217" w:rsidP="003D7DEE">
      <w:pPr>
        <w:pStyle w:val="P22"/>
        <w:widowControl/>
        <w:suppressAutoHyphens w:val="0"/>
        <w:autoSpaceDE/>
        <w:spacing w:before="160" w:line="360" w:lineRule="auto"/>
        <w:ind w:left="1134" w:right="1134"/>
        <w:rPr>
          <w:rStyle w:val="default"/>
          <w:rFonts w:ascii="David" w:hAnsi="David" w:cs="David"/>
          <w:b/>
          <w:bCs/>
          <w:sz w:val="24"/>
          <w:szCs w:val="24"/>
          <w:rtl/>
        </w:rPr>
      </w:pPr>
      <w:r>
        <w:rPr>
          <w:rStyle w:val="default"/>
          <w:rFonts w:ascii="David" w:hAnsi="David" w:cs="David"/>
          <w:b/>
          <w:bCs/>
          <w:sz w:val="24"/>
          <w:szCs w:val="24"/>
          <w:rtl/>
        </w:rPr>
        <w:t>"</w:t>
      </w:r>
      <w:r w:rsidR="003D7DEE">
        <w:rPr>
          <w:rStyle w:val="default"/>
          <w:rFonts w:ascii="David" w:hAnsi="David" w:cs="David"/>
          <w:b/>
          <w:bCs/>
          <w:sz w:val="24"/>
          <w:szCs w:val="24"/>
          <w:rtl/>
        </w:rPr>
        <w:t>(1) בסמוך למקום האמור, אין מקום חניה מוסדר לנכים או שהוא לא היה פנוי בזמן החניה;</w:t>
      </w:r>
    </w:p>
    <w:p w:rsidR="003D7DEE" w:rsidRDefault="003D7DEE" w:rsidP="003D7DEE">
      <w:pPr>
        <w:pStyle w:val="P22"/>
        <w:widowControl/>
        <w:suppressAutoHyphens w:val="0"/>
        <w:autoSpaceDE/>
        <w:spacing w:before="160" w:line="360" w:lineRule="auto"/>
        <w:ind w:left="1134" w:right="1134"/>
        <w:rPr>
          <w:rStyle w:val="default"/>
          <w:rFonts w:ascii="David" w:hAnsi="David" w:cs="David"/>
          <w:b/>
          <w:bCs/>
          <w:sz w:val="24"/>
          <w:szCs w:val="24"/>
        </w:rPr>
      </w:pPr>
      <w:r>
        <w:rPr>
          <w:rStyle w:val="default"/>
          <w:rFonts w:ascii="David" w:hAnsi="David" w:cs="David"/>
          <w:b/>
          <w:bCs/>
          <w:sz w:val="24"/>
          <w:szCs w:val="24"/>
          <w:rtl/>
        </w:rPr>
        <w:t>(2) בסמוך למקום האמור לא מצוי מקום אחר שהחניה בו מותרת או שהוא לא היה פנוי בזמן החניה;</w:t>
      </w:r>
    </w:p>
    <w:p w:rsidR="003D7DEE" w:rsidRDefault="003D7DEE" w:rsidP="003D7DEE">
      <w:pPr>
        <w:pStyle w:val="P22"/>
        <w:widowControl/>
        <w:suppressAutoHyphens w:val="0"/>
        <w:autoSpaceDE/>
        <w:spacing w:before="160" w:line="360" w:lineRule="auto"/>
        <w:ind w:left="1134" w:right="1134"/>
        <w:rPr>
          <w:rStyle w:val="default"/>
          <w:rFonts w:ascii="David" w:hAnsi="David" w:cs="David"/>
          <w:b/>
          <w:bCs/>
          <w:sz w:val="24"/>
          <w:szCs w:val="24"/>
          <w:rtl/>
        </w:rPr>
      </w:pPr>
      <w:r>
        <w:rPr>
          <w:rStyle w:val="default"/>
          <w:rFonts w:ascii="David" w:hAnsi="David" w:cs="David"/>
          <w:b/>
          <w:bCs/>
          <w:sz w:val="24"/>
          <w:szCs w:val="24"/>
          <w:rtl/>
        </w:rPr>
        <w:t>(3) החניה נעשית באופן שאין בה סיכון לעוברי דרך ואין היא מונעת מעבר חופשי להולכי רגל, לעגלות ילדים או לעגלות נכים;</w:t>
      </w:r>
    </w:p>
    <w:p w:rsidR="003D7DEE" w:rsidRDefault="003D7DEE" w:rsidP="00453217">
      <w:pPr>
        <w:pStyle w:val="P22"/>
        <w:widowControl/>
        <w:suppressAutoHyphens w:val="0"/>
        <w:autoSpaceDE/>
        <w:spacing w:before="160" w:line="360" w:lineRule="auto"/>
        <w:ind w:left="1134" w:right="1134"/>
        <w:rPr>
          <w:rStyle w:val="default"/>
          <w:rFonts w:ascii="David" w:hAnsi="David" w:cs="David"/>
          <w:b/>
          <w:bCs/>
          <w:sz w:val="24"/>
          <w:szCs w:val="24"/>
          <w:rtl/>
        </w:rPr>
      </w:pPr>
      <w:r>
        <w:rPr>
          <w:rStyle w:val="default"/>
          <w:rFonts w:ascii="David" w:hAnsi="David" w:cs="David"/>
          <w:b/>
          <w:bCs/>
          <w:sz w:val="24"/>
          <w:szCs w:val="24"/>
          <w:rtl/>
        </w:rPr>
        <w:t xml:space="preserve"> (4) החניה אינה גורמת להפרעה ממשית לתנועה"</w:t>
      </w:r>
    </w:p>
    <w:p w:rsidR="003D7DEE" w:rsidRDefault="003D7DEE" w:rsidP="003D7DEE">
      <w:pPr>
        <w:pStyle w:val="aa"/>
        <w:numPr>
          <w:ilvl w:val="0"/>
          <w:numId w:val="7"/>
        </w:numPr>
        <w:spacing w:before="160" w:line="360" w:lineRule="auto"/>
        <w:ind w:left="357" w:hanging="357"/>
        <w:contextualSpacing w:val="0"/>
        <w:jc w:val="both"/>
      </w:pPr>
      <w:r>
        <w:rPr>
          <w:rFonts w:ascii="David" w:hAnsi="David" w:cs="David"/>
          <w:sz w:val="24"/>
          <w:szCs w:val="24"/>
          <w:rtl/>
        </w:rPr>
        <w:t>הזכות לנגישות נקבעה כעיקרון יסוד בסעיף 19ב לחוק שוויון זכויות לאנשים עם מוגבלות, תשנ"ח-1998 הקובע: "אדם עם מוגבלות זכאי לנגישות למקום ציבורי ולשירות ציבורי".</w:t>
      </w:r>
    </w:p>
    <w:p w:rsidR="003D7DEE" w:rsidRDefault="003D7DEE" w:rsidP="006002EC">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התנאים המפורטים ב</w:t>
      </w:r>
      <w:r w:rsidR="006002EC">
        <w:rPr>
          <w:rFonts w:ascii="David" w:hAnsi="David" w:cs="David" w:hint="cs"/>
          <w:sz w:val="24"/>
          <w:szCs w:val="24"/>
          <w:rtl/>
        </w:rPr>
        <w:t>סעיף 2 ל</w:t>
      </w:r>
      <w:r>
        <w:rPr>
          <w:rFonts w:ascii="David" w:hAnsi="David" w:cs="David"/>
          <w:sz w:val="24"/>
          <w:szCs w:val="24"/>
          <w:rtl/>
        </w:rPr>
        <w:t>חוק חניה לנכים משקפים את האיזון שבחר המחוקק לקבוע בין האינטרס הציבורי שבשמירה על הסדר הציבורי וזכויות המשתמשים בדרך לבין הרצון להקל על ציבור הנכים מתוך הכרה בזכותם לנגישות ולשוויון, ועל מנת לשמור על שלומם ולסייע בניידותם (</w:t>
      </w:r>
      <w:r>
        <w:rPr>
          <w:rFonts w:ascii="David" w:hAnsi="David" w:cs="David"/>
          <w:sz w:val="24"/>
          <w:szCs w:val="24"/>
          <w:shd w:val="clear" w:color="auto" w:fill="FFFFFF"/>
          <w:rtl/>
        </w:rPr>
        <w:t xml:space="preserve">הצעת חוק חניה לנכים, </w:t>
      </w:r>
      <w:proofErr w:type="spellStart"/>
      <w:r>
        <w:rPr>
          <w:rFonts w:ascii="David" w:hAnsi="David" w:cs="David"/>
          <w:sz w:val="24"/>
          <w:szCs w:val="24"/>
          <w:shd w:val="clear" w:color="auto" w:fill="FFFFFF"/>
          <w:rtl/>
        </w:rPr>
        <w:t>התשנ״ג</w:t>
      </w:r>
      <w:proofErr w:type="spellEnd"/>
      <w:r>
        <w:rPr>
          <w:rFonts w:ascii="David" w:hAnsi="David" w:cs="David"/>
          <w:sz w:val="24"/>
          <w:szCs w:val="24"/>
          <w:rtl/>
        </w:rPr>
        <w:t>–</w:t>
      </w:r>
      <w:r>
        <w:rPr>
          <w:rFonts w:ascii="David" w:hAnsi="David" w:cs="David"/>
          <w:sz w:val="24"/>
          <w:szCs w:val="24"/>
          <w:shd w:val="clear" w:color="auto" w:fill="FFFFFF"/>
          <w:rtl/>
        </w:rPr>
        <w:t xml:space="preserve">1993, </w:t>
      </w:r>
      <w:r>
        <w:rPr>
          <w:rFonts w:ascii="David" w:hAnsi="David" w:cs="David"/>
          <w:b/>
          <w:bCs/>
          <w:sz w:val="24"/>
          <w:szCs w:val="24"/>
          <w:rtl/>
        </w:rPr>
        <w:t>הצעות חוק</w:t>
      </w:r>
      <w:r w:rsidR="006002EC">
        <w:rPr>
          <w:rFonts w:ascii="David" w:hAnsi="David" w:cs="David"/>
          <w:sz w:val="24"/>
          <w:szCs w:val="24"/>
          <w:rtl/>
        </w:rPr>
        <w:t xml:space="preserve"> תשנ"ג מס' 2201, עמ' 341</w:t>
      </w:r>
      <w:r>
        <w:rPr>
          <w:rFonts w:ascii="David" w:hAnsi="David" w:cs="David"/>
          <w:sz w:val="24"/>
          <w:szCs w:val="24"/>
          <w:rtl/>
        </w:rPr>
        <w:t xml:space="preserve">; </w:t>
      </w:r>
      <w:proofErr w:type="spellStart"/>
      <w:r>
        <w:rPr>
          <w:rFonts w:ascii="David" w:hAnsi="David" w:cs="David"/>
          <w:sz w:val="24"/>
          <w:szCs w:val="24"/>
          <w:rtl/>
        </w:rPr>
        <w:t>רע"פ</w:t>
      </w:r>
      <w:proofErr w:type="spellEnd"/>
      <w:r>
        <w:rPr>
          <w:rFonts w:ascii="David" w:hAnsi="David" w:cs="David"/>
          <w:sz w:val="24"/>
          <w:szCs w:val="24"/>
          <w:rtl/>
        </w:rPr>
        <w:t xml:space="preserve"> 604/10 </w:t>
      </w:r>
      <w:r>
        <w:rPr>
          <w:rFonts w:ascii="David" w:hAnsi="David" w:cs="David"/>
          <w:b/>
          <w:bCs/>
          <w:sz w:val="24"/>
          <w:szCs w:val="24"/>
          <w:rtl/>
        </w:rPr>
        <w:t>לביא נ' מדינת ישראל</w:t>
      </w:r>
      <w:r>
        <w:rPr>
          <w:rFonts w:ascii="David" w:hAnsi="David" w:cs="David"/>
          <w:sz w:val="24"/>
          <w:szCs w:val="24"/>
          <w:rtl/>
        </w:rPr>
        <w:t xml:space="preserve">, נבו 10.05.2010). </w:t>
      </w:r>
    </w:p>
    <w:p w:rsidR="003D7DEE" w:rsidRDefault="003D7DEE" w:rsidP="003D7DEE">
      <w:pPr>
        <w:pStyle w:val="aa"/>
        <w:numPr>
          <w:ilvl w:val="0"/>
          <w:numId w:val="7"/>
        </w:numPr>
        <w:spacing w:before="160" w:line="360" w:lineRule="auto"/>
        <w:ind w:left="357" w:hanging="357"/>
        <w:contextualSpacing w:val="0"/>
        <w:jc w:val="both"/>
        <w:rPr>
          <w:rFonts w:ascii="David" w:hAnsi="David" w:cs="David"/>
          <w:sz w:val="24"/>
          <w:szCs w:val="24"/>
          <w:rtl/>
        </w:rPr>
      </w:pPr>
      <w:r>
        <w:rPr>
          <w:rFonts w:ascii="David" w:hAnsi="David" w:cs="David"/>
          <w:sz w:val="24"/>
          <w:szCs w:val="24"/>
          <w:rtl/>
        </w:rPr>
        <w:t>הנטל להוכיח התקיימות התנאים רובץ לפתחו של המבקש ליהנות מההגנה שמעניק החוק למי שמחזיק בתג נכה וחנה במקום בו החניה אסורה (</w:t>
      </w:r>
      <w:proofErr w:type="spellStart"/>
      <w:r>
        <w:rPr>
          <w:rFonts w:ascii="David" w:hAnsi="David" w:cs="David"/>
          <w:sz w:val="24"/>
          <w:szCs w:val="24"/>
          <w:rtl/>
        </w:rPr>
        <w:t>רע"פ</w:t>
      </w:r>
      <w:proofErr w:type="spellEnd"/>
      <w:r>
        <w:rPr>
          <w:rFonts w:ascii="David" w:hAnsi="David" w:cs="David"/>
          <w:sz w:val="24"/>
          <w:szCs w:val="24"/>
          <w:rtl/>
        </w:rPr>
        <w:t xml:space="preserve"> 8586/10 </w:t>
      </w:r>
      <w:r>
        <w:rPr>
          <w:rFonts w:ascii="David" w:hAnsi="David" w:cs="David"/>
          <w:b/>
          <w:bCs/>
          <w:sz w:val="24"/>
          <w:szCs w:val="24"/>
          <w:rtl/>
        </w:rPr>
        <w:t>גור נ' עיריית באר-שבע</w:t>
      </w:r>
      <w:r>
        <w:rPr>
          <w:rFonts w:ascii="David" w:hAnsi="David" w:cs="David"/>
          <w:sz w:val="24"/>
          <w:szCs w:val="24"/>
          <w:rtl/>
        </w:rPr>
        <w:t xml:space="preserve">, נבו 29.11.2010; </w:t>
      </w:r>
      <w:proofErr w:type="spellStart"/>
      <w:r>
        <w:rPr>
          <w:rFonts w:ascii="David" w:hAnsi="David" w:cs="David"/>
          <w:sz w:val="24"/>
          <w:szCs w:val="24"/>
          <w:rtl/>
        </w:rPr>
        <w:t>עפ"א</w:t>
      </w:r>
      <w:proofErr w:type="spellEnd"/>
      <w:r>
        <w:rPr>
          <w:rFonts w:ascii="David" w:hAnsi="David" w:cs="David"/>
          <w:sz w:val="24"/>
          <w:szCs w:val="24"/>
          <w:rtl/>
        </w:rPr>
        <w:t xml:space="preserve"> 38525-07-10 </w:t>
      </w:r>
      <w:r>
        <w:rPr>
          <w:rFonts w:ascii="David" w:hAnsi="David" w:cs="David"/>
          <w:b/>
          <w:bCs/>
          <w:sz w:val="24"/>
          <w:szCs w:val="24"/>
          <w:rtl/>
        </w:rPr>
        <w:t xml:space="preserve">לאור נ' עיריית תל אביב-יפו, </w:t>
      </w:r>
      <w:r>
        <w:rPr>
          <w:rFonts w:ascii="David" w:hAnsi="David" w:cs="David"/>
          <w:sz w:val="24"/>
          <w:szCs w:val="24"/>
          <w:rtl/>
        </w:rPr>
        <w:t>נבו</w:t>
      </w:r>
      <w:r>
        <w:rPr>
          <w:rFonts w:ascii="David" w:hAnsi="David" w:cs="David"/>
          <w:b/>
          <w:bCs/>
          <w:sz w:val="24"/>
          <w:szCs w:val="24"/>
          <w:rtl/>
        </w:rPr>
        <w:t xml:space="preserve"> </w:t>
      </w:r>
      <w:r>
        <w:rPr>
          <w:rFonts w:ascii="David" w:hAnsi="David" w:cs="David"/>
          <w:color w:val="000000"/>
          <w:sz w:val="24"/>
          <w:szCs w:val="24"/>
          <w:rtl/>
        </w:rPr>
        <w:t xml:space="preserve">05.10.2010; </w:t>
      </w:r>
      <w:proofErr w:type="spellStart"/>
      <w:r>
        <w:rPr>
          <w:rFonts w:ascii="David" w:hAnsi="David" w:cs="David"/>
          <w:color w:val="000000"/>
          <w:sz w:val="24"/>
          <w:szCs w:val="24"/>
          <w:rtl/>
        </w:rPr>
        <w:t>רע"פ</w:t>
      </w:r>
      <w:proofErr w:type="spellEnd"/>
      <w:r>
        <w:rPr>
          <w:rFonts w:ascii="David" w:hAnsi="David" w:cs="David"/>
          <w:color w:val="000000"/>
          <w:sz w:val="24"/>
          <w:szCs w:val="24"/>
          <w:rtl/>
        </w:rPr>
        <w:t xml:space="preserve"> 7156/03 </w:t>
      </w:r>
      <w:r>
        <w:rPr>
          <w:rFonts w:ascii="David" w:hAnsi="David" w:cs="David"/>
          <w:b/>
          <w:bCs/>
          <w:color w:val="000000"/>
          <w:sz w:val="24"/>
          <w:szCs w:val="24"/>
          <w:rtl/>
        </w:rPr>
        <w:t>פוקס נ' מדינת ישראל</w:t>
      </w:r>
      <w:r>
        <w:rPr>
          <w:rFonts w:ascii="David" w:hAnsi="David" w:cs="David"/>
          <w:color w:val="000000"/>
          <w:sz w:val="24"/>
          <w:szCs w:val="24"/>
          <w:rtl/>
        </w:rPr>
        <w:t xml:space="preserve">, נבו 10.08.2003). </w:t>
      </w:r>
    </w:p>
    <w:p w:rsidR="007B5028" w:rsidRPr="007B5028" w:rsidRDefault="003D7DEE" w:rsidP="007B5028">
      <w:pPr>
        <w:pStyle w:val="aa"/>
        <w:numPr>
          <w:ilvl w:val="0"/>
          <w:numId w:val="7"/>
        </w:numPr>
        <w:spacing w:before="160" w:line="360" w:lineRule="auto"/>
        <w:ind w:left="357" w:hanging="357"/>
        <w:contextualSpacing w:val="0"/>
        <w:jc w:val="both"/>
        <w:rPr>
          <w:rFonts w:ascii="David" w:hAnsi="David" w:cs="David"/>
          <w:sz w:val="24"/>
          <w:szCs w:val="24"/>
          <w:u w:val="single"/>
        </w:rPr>
      </w:pPr>
      <w:r w:rsidRPr="006B49BC">
        <w:rPr>
          <w:rFonts w:ascii="David" w:hAnsi="David" w:cs="David"/>
          <w:sz w:val="24"/>
          <w:szCs w:val="24"/>
          <w:rtl/>
        </w:rPr>
        <w:t xml:space="preserve">להשלמת התמונה </w:t>
      </w:r>
      <w:r w:rsidR="006002EC" w:rsidRPr="006B49BC">
        <w:rPr>
          <w:rFonts w:ascii="David" w:hAnsi="David" w:cs="David"/>
          <w:sz w:val="24"/>
          <w:szCs w:val="24"/>
          <w:rtl/>
        </w:rPr>
        <w:t>–</w:t>
      </w:r>
      <w:r w:rsidR="006002EC" w:rsidRPr="006B49BC">
        <w:rPr>
          <w:rFonts w:ascii="David" w:hAnsi="David" w:cs="David" w:hint="cs"/>
          <w:sz w:val="24"/>
          <w:szCs w:val="24"/>
          <w:rtl/>
        </w:rPr>
        <w:t xml:space="preserve"> </w:t>
      </w:r>
      <w:r w:rsidRPr="006B49BC">
        <w:rPr>
          <w:rFonts w:ascii="David" w:hAnsi="David" w:cs="David"/>
          <w:sz w:val="24"/>
          <w:szCs w:val="24"/>
          <w:rtl/>
        </w:rPr>
        <w:t xml:space="preserve">סעיף 3 לחוק אשר קובע רשימת סגורה של מקומות אשר החניה בהם אסורה </w:t>
      </w:r>
      <w:r w:rsidR="006002EC" w:rsidRPr="006B49BC">
        <w:rPr>
          <w:rFonts w:ascii="David" w:hAnsi="David" w:cs="David" w:hint="cs"/>
          <w:sz w:val="24"/>
          <w:szCs w:val="24"/>
          <w:rtl/>
        </w:rPr>
        <w:t xml:space="preserve">גם </w:t>
      </w:r>
      <w:r w:rsidRPr="006B49BC">
        <w:rPr>
          <w:rFonts w:ascii="David" w:hAnsi="David" w:cs="David"/>
          <w:sz w:val="24"/>
          <w:szCs w:val="24"/>
          <w:rtl/>
        </w:rPr>
        <w:t xml:space="preserve">לנכים, </w:t>
      </w:r>
      <w:r w:rsidR="006002EC" w:rsidRPr="006B49BC">
        <w:rPr>
          <w:rFonts w:ascii="David" w:hAnsi="David" w:cs="David" w:hint="cs"/>
          <w:sz w:val="24"/>
          <w:szCs w:val="24"/>
          <w:rtl/>
        </w:rPr>
        <w:t xml:space="preserve">אף אם </w:t>
      </w:r>
      <w:r w:rsidRPr="006B49BC">
        <w:rPr>
          <w:rFonts w:ascii="David" w:hAnsi="David" w:cs="David"/>
          <w:sz w:val="24"/>
          <w:szCs w:val="24"/>
          <w:rtl/>
        </w:rPr>
        <w:t>מתקיימים ארבעת התנאים המצטברים המפורטים בסעיף 2.</w:t>
      </w:r>
      <w:r w:rsidR="006B49BC">
        <w:rPr>
          <w:rFonts w:ascii="David" w:hAnsi="David" w:cs="David" w:hint="cs"/>
          <w:sz w:val="24"/>
          <w:szCs w:val="24"/>
          <w:rtl/>
        </w:rPr>
        <w:t xml:space="preserve"> </w:t>
      </w:r>
    </w:p>
    <w:p w:rsidR="003D7DEE" w:rsidRPr="007B5028" w:rsidRDefault="006D00F8" w:rsidP="007B5028">
      <w:pPr>
        <w:pStyle w:val="aa"/>
        <w:numPr>
          <w:ilvl w:val="0"/>
          <w:numId w:val="7"/>
        </w:numPr>
        <w:spacing w:before="160" w:line="360" w:lineRule="auto"/>
        <w:ind w:left="357" w:hanging="357"/>
        <w:contextualSpacing w:val="0"/>
        <w:jc w:val="both"/>
        <w:rPr>
          <w:rFonts w:ascii="David" w:hAnsi="David" w:cs="David"/>
          <w:sz w:val="24"/>
          <w:szCs w:val="24"/>
          <w:u w:val="single"/>
          <w:rtl/>
        </w:rPr>
      </w:pPr>
      <w:r w:rsidRPr="007B5028">
        <w:rPr>
          <w:rFonts w:ascii="David" w:hAnsi="David" w:cs="David" w:hint="cs"/>
          <w:sz w:val="24"/>
          <w:szCs w:val="24"/>
          <w:u w:val="single"/>
          <w:rtl/>
        </w:rPr>
        <w:t xml:space="preserve">התיק דנן נבחן </w:t>
      </w:r>
      <w:r w:rsidR="006B49BC" w:rsidRPr="007B5028">
        <w:rPr>
          <w:rFonts w:ascii="David" w:hAnsi="David" w:cs="David" w:hint="cs"/>
          <w:sz w:val="24"/>
          <w:szCs w:val="24"/>
          <w:u w:val="single"/>
          <w:rtl/>
        </w:rPr>
        <w:t xml:space="preserve">בראי הוראות סעיף 2 לחוק החניה לנכים שכן העמדת </w:t>
      </w:r>
      <w:r w:rsidR="007B5028" w:rsidRPr="007B5028">
        <w:rPr>
          <w:rFonts w:ascii="David" w:hAnsi="David" w:cs="David" w:hint="cs"/>
          <w:sz w:val="24"/>
          <w:szCs w:val="24"/>
          <w:u w:val="single"/>
          <w:rtl/>
        </w:rPr>
        <w:t xml:space="preserve">רכב בשטח </w:t>
      </w:r>
      <w:r w:rsidR="007B5028">
        <w:rPr>
          <w:rFonts w:ascii="David" w:hAnsi="David" w:cs="David" w:hint="cs"/>
          <w:sz w:val="24"/>
          <w:szCs w:val="24"/>
          <w:u w:val="single"/>
          <w:rtl/>
        </w:rPr>
        <w:t xml:space="preserve">מעטפה שיועדה לרכב הצלה </w:t>
      </w:r>
      <w:r w:rsidR="007B5028" w:rsidRPr="007B5028">
        <w:rPr>
          <w:rFonts w:ascii="David" w:hAnsi="David" w:cs="David" w:hint="cs"/>
          <w:sz w:val="24"/>
          <w:szCs w:val="24"/>
          <w:u w:val="single"/>
          <w:rtl/>
        </w:rPr>
        <w:t xml:space="preserve">לא נקבע על ידי המחוקק כאיסור מוחלט לפי סעיף 3 לחוק. </w:t>
      </w:r>
    </w:p>
    <w:p w:rsidR="003D7DEE" w:rsidRDefault="003D7DEE" w:rsidP="009D5AF6">
      <w:pPr>
        <w:pStyle w:val="aa"/>
        <w:numPr>
          <w:ilvl w:val="0"/>
          <w:numId w:val="7"/>
        </w:numPr>
        <w:spacing w:before="160" w:line="360" w:lineRule="auto"/>
        <w:ind w:left="357" w:hanging="357"/>
        <w:contextualSpacing w:val="0"/>
        <w:jc w:val="both"/>
        <w:rPr>
          <w:rFonts w:ascii="David" w:eastAsia="Calibri" w:hAnsi="David" w:cs="David"/>
          <w:spacing w:val="10"/>
          <w:sz w:val="24"/>
          <w:szCs w:val="24"/>
        </w:rPr>
      </w:pPr>
      <w:r>
        <w:rPr>
          <w:rFonts w:ascii="David" w:hAnsi="David" w:cs="David"/>
          <w:sz w:val="24"/>
          <w:szCs w:val="24"/>
          <w:rtl/>
        </w:rPr>
        <w:t xml:space="preserve">אין מחלוקת כי העמדת רכב נכה </w:t>
      </w:r>
      <w:r w:rsidR="009D5AF6">
        <w:rPr>
          <w:rFonts w:ascii="David" w:hAnsi="David" w:cs="David" w:hint="cs"/>
          <w:sz w:val="24"/>
          <w:szCs w:val="24"/>
          <w:rtl/>
        </w:rPr>
        <w:t xml:space="preserve">במקום שנאסר על כלל הציבור </w:t>
      </w:r>
      <w:r>
        <w:rPr>
          <w:rFonts w:ascii="David" w:hAnsi="David" w:cs="David"/>
          <w:sz w:val="24"/>
          <w:szCs w:val="24"/>
          <w:rtl/>
        </w:rPr>
        <w:t>גורמת להפרעה לתנועה שכן היא גורעת את שטח העמדת הרכב משימושו של הציבור. השאלה אם חלה הגנה שבחוק מבטאת את האיזון הראוי שהעמיד המחוקק בין זכות הציבור לשימוש בדרך לבין הרצון להקל על נכים ובעלי מוגבלויות. המחוקק דרש, אם כן, כי זו תהיה הפרעה ממשית ולא הפרעה קלה או זניחה. תנאי זה פורש בפסיקה ככולל גם הפרעה פוטנציאלית (</w:t>
      </w:r>
      <w:proofErr w:type="spellStart"/>
      <w:r>
        <w:rPr>
          <w:rFonts w:ascii="David" w:hAnsi="David" w:cs="David"/>
          <w:sz w:val="24"/>
          <w:szCs w:val="24"/>
          <w:rtl/>
        </w:rPr>
        <w:t>רע"פ</w:t>
      </w:r>
      <w:proofErr w:type="spellEnd"/>
      <w:r>
        <w:rPr>
          <w:rFonts w:ascii="David" w:hAnsi="David" w:cs="David"/>
          <w:sz w:val="24"/>
          <w:szCs w:val="24"/>
          <w:rtl/>
        </w:rPr>
        <w:t xml:space="preserve"> 5273/12 </w:t>
      </w:r>
      <w:r>
        <w:rPr>
          <w:rFonts w:ascii="David" w:hAnsi="David" w:cs="David"/>
          <w:b/>
          <w:bCs/>
          <w:sz w:val="24"/>
          <w:szCs w:val="24"/>
          <w:rtl/>
        </w:rPr>
        <w:t xml:space="preserve">גיא נ' </w:t>
      </w:r>
      <w:r>
        <w:rPr>
          <w:rFonts w:ascii="David" w:eastAsia="Calibri" w:hAnsi="David" w:cs="David"/>
          <w:b/>
          <w:bCs/>
          <w:color w:val="000000"/>
          <w:sz w:val="24"/>
          <w:szCs w:val="24"/>
          <w:rtl/>
        </w:rPr>
        <w:t>מדינת</w:t>
      </w:r>
      <w:r>
        <w:rPr>
          <w:rFonts w:ascii="David" w:eastAsia="Calibri" w:hAnsi="David" w:cs="David"/>
          <w:bCs/>
          <w:color w:val="000000"/>
          <w:sz w:val="24"/>
          <w:szCs w:val="24"/>
          <w:rtl/>
        </w:rPr>
        <w:t xml:space="preserve"> ישראל</w:t>
      </w:r>
      <w:r>
        <w:rPr>
          <w:rFonts w:ascii="David" w:eastAsia="Calibri" w:hAnsi="David" w:cs="David"/>
          <w:spacing w:val="10"/>
          <w:sz w:val="24"/>
          <w:szCs w:val="24"/>
          <w:rtl/>
        </w:rPr>
        <w:t xml:space="preserve"> </w:t>
      </w:r>
      <w:r>
        <w:rPr>
          <w:rFonts w:ascii="David" w:eastAsia="Calibri" w:hAnsi="David" w:cs="David"/>
          <w:sz w:val="24"/>
          <w:szCs w:val="24"/>
          <w:rtl/>
        </w:rPr>
        <w:t xml:space="preserve">(09.05.2013), אך עדיין, נדרש כי הפרעה זו תהיה </w:t>
      </w:r>
      <w:r>
        <w:rPr>
          <w:rFonts w:ascii="David" w:eastAsia="Calibri" w:hAnsi="David" w:cs="David"/>
          <w:b/>
          <w:bCs/>
          <w:sz w:val="24"/>
          <w:szCs w:val="24"/>
          <w:rtl/>
        </w:rPr>
        <w:t>ממשית</w:t>
      </w:r>
      <w:r>
        <w:rPr>
          <w:rFonts w:ascii="David" w:eastAsia="Calibri" w:hAnsi="David" w:cs="David"/>
          <w:sz w:val="24"/>
          <w:szCs w:val="24"/>
          <w:rtl/>
        </w:rPr>
        <w:t xml:space="preserve"> כלשון הסעיף שאחרת, </w:t>
      </w:r>
      <w:r>
        <w:rPr>
          <w:rFonts w:ascii="David" w:eastAsia="Calibri" w:hAnsi="David" w:cs="David"/>
          <w:b/>
          <w:bCs/>
          <w:sz w:val="24"/>
          <w:szCs w:val="24"/>
          <w:rtl/>
        </w:rPr>
        <w:t>כל</w:t>
      </w:r>
      <w:r>
        <w:rPr>
          <w:rFonts w:ascii="David" w:eastAsia="Calibri" w:hAnsi="David" w:cs="David"/>
          <w:sz w:val="24"/>
          <w:szCs w:val="24"/>
          <w:rtl/>
        </w:rPr>
        <w:t xml:space="preserve"> חניה של נכה על כל מדרכה יש בה פוטנציאל הפרעה לציבור ותהיה מנוגדת לתנאי הסעיף.  </w:t>
      </w:r>
    </w:p>
    <w:p w:rsidR="00443C67" w:rsidRPr="00443C67" w:rsidRDefault="003D7DEE" w:rsidP="003D7DEE">
      <w:pPr>
        <w:pStyle w:val="aa"/>
        <w:numPr>
          <w:ilvl w:val="0"/>
          <w:numId w:val="7"/>
        </w:numPr>
        <w:spacing w:before="160" w:line="360" w:lineRule="auto"/>
        <w:ind w:left="357" w:hanging="357"/>
        <w:contextualSpacing w:val="0"/>
        <w:jc w:val="both"/>
        <w:rPr>
          <w:rFonts w:ascii="David" w:eastAsia="Calibri" w:hAnsi="David" w:cs="David"/>
          <w:spacing w:val="10"/>
          <w:sz w:val="24"/>
          <w:szCs w:val="24"/>
        </w:rPr>
      </w:pPr>
      <w:r>
        <w:rPr>
          <w:rFonts w:ascii="David" w:hAnsi="David" w:cs="David"/>
          <w:sz w:val="24"/>
          <w:szCs w:val="24"/>
          <w:rtl/>
        </w:rPr>
        <w:t xml:space="preserve">בנוסף, מקובלת עלי טענת המאשימה כי רחבת כיבוי והצלה נועדה על מנת לאפשר לרכבי חירום לבצע את עבודתם באופן שוטף ותקין וכי העמדת רכב באופן שעשוי להפריע לפעולות חילוץ של צוותי החירום יכולה להיות כזו שאינה עומדת בתנאים שנקבעו בחוק החניה לנכים. </w:t>
      </w:r>
    </w:p>
    <w:p w:rsidR="00443C67" w:rsidRPr="00443C67" w:rsidRDefault="00443C67" w:rsidP="00892B53">
      <w:pPr>
        <w:pStyle w:val="aa"/>
        <w:numPr>
          <w:ilvl w:val="0"/>
          <w:numId w:val="7"/>
        </w:numPr>
        <w:spacing w:before="160" w:line="360" w:lineRule="auto"/>
        <w:ind w:left="357" w:hanging="357"/>
        <w:contextualSpacing w:val="0"/>
        <w:jc w:val="both"/>
        <w:rPr>
          <w:rFonts w:ascii="David" w:eastAsia="Calibri" w:hAnsi="David" w:cs="David"/>
          <w:spacing w:val="10"/>
          <w:sz w:val="24"/>
          <w:szCs w:val="24"/>
        </w:rPr>
      </w:pPr>
      <w:r>
        <w:rPr>
          <w:rFonts w:ascii="David" w:hAnsi="David" w:cs="David"/>
          <w:sz w:val="24"/>
          <w:szCs w:val="24"/>
          <w:rtl/>
        </w:rPr>
        <w:t xml:space="preserve">אלא שנתוניו של מקרה זה שונים. </w:t>
      </w:r>
      <w:r w:rsidRPr="00443C67">
        <w:rPr>
          <w:rFonts w:ascii="David" w:hAnsi="David" w:cs="David"/>
          <w:sz w:val="24"/>
          <w:szCs w:val="24"/>
          <w:rtl/>
        </w:rPr>
        <w:t>עיון בתמונות שהוגשו במהלך ההליך מלמד כי הנאשם העמיד את הרכב כאשר הוא צמוד לקיר המבנה וכי מדובר במדרכה רחבה ביותר. הנאשם לא חסם את המדרכה ולא ניתן לומר כי הפריע לתנועה או למשתמשי הדרך באופן כלשהו</w:t>
      </w:r>
      <w:r w:rsidR="00892B53">
        <w:rPr>
          <w:rFonts w:ascii="David" w:hAnsi="David" w:cs="David" w:hint="cs"/>
          <w:sz w:val="24"/>
          <w:szCs w:val="24"/>
          <w:rtl/>
        </w:rPr>
        <w:t xml:space="preserve"> ולא התרשמתי כי העמדת הרכב במקום זה היוותה סיכון למשתמשי הדרך:</w:t>
      </w:r>
      <w:r w:rsidRPr="00443C67">
        <w:rPr>
          <w:rFonts w:ascii="David" w:hAnsi="David" w:cs="David"/>
          <w:sz w:val="24"/>
          <w:szCs w:val="24"/>
          <w:rtl/>
        </w:rPr>
        <w:t xml:space="preserve"> </w:t>
      </w:r>
    </w:p>
    <w:p w:rsidR="003D7DEE" w:rsidRDefault="003D7DEE" w:rsidP="006B49BC">
      <w:pPr>
        <w:pStyle w:val="aa"/>
        <w:spacing w:before="160" w:line="360" w:lineRule="auto"/>
        <w:ind w:left="357"/>
        <w:contextualSpacing w:val="0"/>
        <w:jc w:val="both"/>
        <w:rPr>
          <w:rFonts w:ascii="David" w:hAnsi="David" w:cs="David"/>
          <w:sz w:val="24"/>
          <w:szCs w:val="24"/>
          <w:rtl/>
        </w:rPr>
      </w:pPr>
      <w:r>
        <w:rPr>
          <w:rFonts w:ascii="David" w:hAnsi="David" w:cs="David"/>
          <w:sz w:val="24"/>
          <w:szCs w:val="24"/>
          <w:rtl/>
        </w:rPr>
        <w:t xml:space="preserve">ראשית: מדובר במעטפה שמידותיה רחבות במיוחד (לטענת הנאשם אף אינן עולות בקנה אחד עם ההנחיות החוקיות); שנית, המעטפה המסומנת על המדרכה אינה מתחילה מקיר המבנה אלא </w:t>
      </w:r>
      <w:r w:rsidR="006B49BC">
        <w:rPr>
          <w:rFonts w:ascii="David" w:hAnsi="David" w:cs="David" w:hint="cs"/>
          <w:sz w:val="24"/>
          <w:szCs w:val="24"/>
          <w:rtl/>
        </w:rPr>
        <w:t>ב</w:t>
      </w:r>
      <w:r>
        <w:rPr>
          <w:rFonts w:ascii="David" w:hAnsi="David" w:cs="David"/>
          <w:sz w:val="24"/>
          <w:szCs w:val="24"/>
          <w:rtl/>
        </w:rPr>
        <w:t>מרחק מסוים מהקיר, שרוחבו קטן אך במעט מרוחב רכבו של הנאשם</w:t>
      </w:r>
      <w:r w:rsidR="006B49BC">
        <w:rPr>
          <w:rFonts w:ascii="David" w:hAnsi="David" w:cs="David" w:hint="cs"/>
          <w:sz w:val="24"/>
          <w:szCs w:val="24"/>
          <w:rtl/>
        </w:rPr>
        <w:t xml:space="preserve">; </w:t>
      </w:r>
      <w:r>
        <w:rPr>
          <w:rFonts w:ascii="David" w:hAnsi="David" w:cs="David"/>
          <w:sz w:val="24"/>
          <w:szCs w:val="24"/>
          <w:rtl/>
        </w:rPr>
        <w:t xml:space="preserve">שלישית: הנאשם העמיד את הרכב בחלקה הפנימי של המדרכה, כאשר חלקו הימני צמוד לקיר המבנה, וחלקו השמאלי גולש באופן מינימלי לשטח המעטפה אולם </w:t>
      </w:r>
      <w:r>
        <w:rPr>
          <w:rFonts w:ascii="David" w:hAnsi="David" w:cs="David"/>
          <w:b/>
          <w:bCs/>
          <w:sz w:val="24"/>
          <w:szCs w:val="24"/>
          <w:rtl/>
        </w:rPr>
        <w:t xml:space="preserve">חלק הארי של רכב הנאשם </w:t>
      </w:r>
      <w:r w:rsidRPr="004A5DF9">
        <w:rPr>
          <w:rFonts w:ascii="David" w:hAnsi="David" w:cs="David"/>
          <w:b/>
          <w:bCs/>
          <w:sz w:val="24"/>
          <w:szCs w:val="24"/>
          <w:u w:val="single"/>
          <w:rtl/>
        </w:rPr>
        <w:t>לא</w:t>
      </w:r>
      <w:r>
        <w:rPr>
          <w:rFonts w:ascii="David" w:hAnsi="David" w:cs="David"/>
          <w:b/>
          <w:bCs/>
          <w:sz w:val="24"/>
          <w:szCs w:val="24"/>
          <w:rtl/>
        </w:rPr>
        <w:t xml:space="preserve"> חנה על המעטפה המסומנת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הרכב לא חסם</w:t>
      </w:r>
      <w:r>
        <w:rPr>
          <w:rFonts w:ascii="David" w:hAnsi="David" w:cs="David"/>
          <w:b/>
          <w:bCs/>
          <w:sz w:val="24"/>
          <w:szCs w:val="24"/>
          <w:rtl/>
        </w:rPr>
        <w:t xml:space="preserve"> </w:t>
      </w:r>
      <w:r>
        <w:rPr>
          <w:rFonts w:ascii="David" w:hAnsi="David" w:cs="David"/>
          <w:sz w:val="24"/>
          <w:szCs w:val="24"/>
          <w:rtl/>
        </w:rPr>
        <w:t xml:space="preserve">את הגישה לרחבה </w:t>
      </w:r>
      <w:r w:rsidR="006B49BC">
        <w:rPr>
          <w:rFonts w:ascii="David" w:hAnsi="David" w:cs="David" w:hint="cs"/>
          <w:sz w:val="24"/>
          <w:szCs w:val="24"/>
          <w:rtl/>
        </w:rPr>
        <w:t xml:space="preserve">לרכבי הצלה </w:t>
      </w:r>
      <w:r>
        <w:rPr>
          <w:rFonts w:ascii="David" w:hAnsi="David" w:cs="David"/>
          <w:sz w:val="24"/>
          <w:szCs w:val="24"/>
          <w:rtl/>
        </w:rPr>
        <w:t>או את היציאה ממנה ולא גרם להפרעה אחרת למשתמשי הדרך. זאת בשונה, יש לומר, מרכבים אחרים שתועדו בת/</w:t>
      </w:r>
      <w:r w:rsidR="00443C67">
        <w:rPr>
          <w:rFonts w:ascii="David" w:hAnsi="David" w:cs="David" w:hint="cs"/>
          <w:sz w:val="24"/>
          <w:szCs w:val="24"/>
          <w:rtl/>
        </w:rPr>
        <w:t xml:space="preserve">2 </w:t>
      </w:r>
      <w:proofErr w:type="spellStart"/>
      <w:r w:rsidR="00443C67">
        <w:rPr>
          <w:rFonts w:ascii="David" w:hAnsi="David" w:cs="David" w:hint="cs"/>
          <w:sz w:val="24"/>
          <w:szCs w:val="24"/>
          <w:rtl/>
        </w:rPr>
        <w:t>ות</w:t>
      </w:r>
      <w:proofErr w:type="spellEnd"/>
      <w:r w:rsidR="00443C67">
        <w:rPr>
          <w:rFonts w:ascii="David" w:hAnsi="David" w:cs="David" w:hint="cs"/>
          <w:sz w:val="24"/>
          <w:szCs w:val="24"/>
          <w:rtl/>
        </w:rPr>
        <w:t>/3</w:t>
      </w:r>
      <w:r>
        <w:rPr>
          <w:rFonts w:ascii="David" w:hAnsi="David" w:cs="David"/>
          <w:sz w:val="24"/>
          <w:szCs w:val="24"/>
          <w:rtl/>
        </w:rPr>
        <w:t xml:space="preserve"> כשהם חונים במרכז הרחבה באופן שיש בו כדי לגרום להפרעה פוטנציאלית משמעותית לכל רכב הצלה שיבקש להיכנס לרחבה. </w:t>
      </w:r>
    </w:p>
    <w:p w:rsidR="00443C67" w:rsidRPr="00453217"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sidRPr="00453217">
        <w:rPr>
          <w:rFonts w:ascii="David" w:hAnsi="David" w:cs="David"/>
          <w:sz w:val="24"/>
          <w:szCs w:val="24"/>
          <w:rtl/>
        </w:rPr>
        <w:t xml:space="preserve">האופן שבו העמיד הנאשם את הרכב מלמד דווקא כי הנאשם עשה כל שביכולתו על מנת לצמצם הפרעה לרכב הצלה או למשתמשי הדרך. </w:t>
      </w:r>
      <w:r w:rsidR="00443C67" w:rsidRPr="00453217">
        <w:rPr>
          <w:rFonts w:ascii="David" w:hAnsi="David" w:cs="David" w:hint="cs"/>
          <w:sz w:val="24"/>
          <w:szCs w:val="24"/>
          <w:rtl/>
        </w:rPr>
        <w:t xml:space="preserve">בנוסף, הנאשם העיד על מצבו הרפואי המצריך חניה בקרבת מקום, וכן הבהיר שחיפש חניות באזור אולם לא </w:t>
      </w:r>
      <w:r w:rsidR="00892B53" w:rsidRPr="00453217">
        <w:rPr>
          <w:rFonts w:ascii="David" w:hAnsi="David" w:cs="David" w:hint="cs"/>
          <w:sz w:val="24"/>
          <w:szCs w:val="24"/>
          <w:rtl/>
        </w:rPr>
        <w:t xml:space="preserve">איתר מקום חניה </w:t>
      </w:r>
      <w:r w:rsidR="004A5DF9">
        <w:rPr>
          <w:rFonts w:ascii="David" w:hAnsi="David" w:cs="David" w:hint="cs"/>
          <w:sz w:val="24"/>
          <w:szCs w:val="24"/>
          <w:rtl/>
        </w:rPr>
        <w:t>רלוונטי</w:t>
      </w:r>
      <w:r w:rsidR="00443C67" w:rsidRPr="00453217">
        <w:rPr>
          <w:rFonts w:ascii="David" w:hAnsi="David" w:cs="David" w:hint="cs"/>
          <w:sz w:val="24"/>
          <w:szCs w:val="24"/>
          <w:rtl/>
        </w:rPr>
        <w:t xml:space="preserve">. הנאשם גם ציין </w:t>
      </w:r>
      <w:r w:rsidR="00892B53" w:rsidRPr="00453217">
        <w:rPr>
          <w:rFonts w:ascii="David" w:hAnsi="David" w:cs="David" w:hint="cs"/>
          <w:sz w:val="24"/>
          <w:szCs w:val="24"/>
          <w:rtl/>
        </w:rPr>
        <w:t xml:space="preserve">שאין </w:t>
      </w:r>
      <w:r w:rsidR="00443C67" w:rsidRPr="00453217">
        <w:rPr>
          <w:rFonts w:ascii="David" w:hAnsi="David" w:cs="David" w:hint="cs"/>
          <w:sz w:val="24"/>
          <w:szCs w:val="24"/>
          <w:rtl/>
        </w:rPr>
        <w:t xml:space="preserve">במקום חניות ייעודיות לנכים או חניונים רלוונטיים במרחק סביר. </w:t>
      </w:r>
      <w:r w:rsidR="004A5DF9">
        <w:rPr>
          <w:rFonts w:ascii="David" w:hAnsi="David" w:cs="David" w:hint="cs"/>
          <w:sz w:val="24"/>
          <w:szCs w:val="24"/>
          <w:rtl/>
        </w:rPr>
        <w:t xml:space="preserve">עדות הנאשם בעניין זה לא נסתרה. </w:t>
      </w:r>
      <w:r w:rsidR="00443C67" w:rsidRPr="00453217">
        <w:rPr>
          <w:rFonts w:ascii="David" w:hAnsi="David" w:cs="David" w:hint="cs"/>
          <w:sz w:val="24"/>
          <w:szCs w:val="24"/>
          <w:rtl/>
        </w:rPr>
        <w:t>עדות הפקח</w:t>
      </w:r>
      <w:r w:rsidR="004A5DF9">
        <w:rPr>
          <w:rFonts w:ascii="David" w:hAnsi="David" w:cs="David" w:hint="cs"/>
          <w:sz w:val="24"/>
          <w:szCs w:val="24"/>
          <w:rtl/>
        </w:rPr>
        <w:t xml:space="preserve">, כמפורט, </w:t>
      </w:r>
      <w:r w:rsidR="00443C67" w:rsidRPr="00453217">
        <w:rPr>
          <w:rFonts w:ascii="David" w:hAnsi="David" w:cs="David" w:hint="cs"/>
          <w:sz w:val="24"/>
          <w:szCs w:val="24"/>
          <w:rtl/>
        </w:rPr>
        <w:t>ה</w:t>
      </w:r>
      <w:r w:rsidR="00892B53" w:rsidRPr="00453217">
        <w:rPr>
          <w:rFonts w:ascii="David" w:hAnsi="David" w:cs="David" w:hint="cs"/>
          <w:sz w:val="24"/>
          <w:szCs w:val="24"/>
          <w:rtl/>
        </w:rPr>
        <w:t>י</w:t>
      </w:r>
      <w:r w:rsidR="00443C67" w:rsidRPr="00453217">
        <w:rPr>
          <w:rFonts w:ascii="David" w:hAnsi="David" w:cs="David" w:hint="cs"/>
          <w:sz w:val="24"/>
          <w:szCs w:val="24"/>
          <w:rtl/>
        </w:rPr>
        <w:t xml:space="preserve">יתה כללית ולא כללה התייחסות לקיומם של חניונים </w:t>
      </w:r>
      <w:r w:rsidR="004A5DF9">
        <w:rPr>
          <w:rFonts w:ascii="David" w:hAnsi="David" w:cs="David" w:hint="cs"/>
          <w:sz w:val="24"/>
          <w:szCs w:val="24"/>
          <w:rtl/>
        </w:rPr>
        <w:t xml:space="preserve">ספציפיים או למרחקם </w:t>
      </w:r>
      <w:r w:rsidR="00443C67" w:rsidRPr="00453217">
        <w:rPr>
          <w:rFonts w:ascii="David" w:hAnsi="David" w:cs="David" w:hint="cs"/>
          <w:sz w:val="24"/>
          <w:szCs w:val="24"/>
          <w:rtl/>
        </w:rPr>
        <w:t xml:space="preserve">ממקום </w:t>
      </w:r>
      <w:r w:rsidR="004A5DF9">
        <w:rPr>
          <w:rFonts w:ascii="David" w:hAnsi="David" w:cs="David" w:hint="cs"/>
          <w:sz w:val="24"/>
          <w:szCs w:val="24"/>
          <w:rtl/>
        </w:rPr>
        <w:t>העבירה</w:t>
      </w:r>
      <w:r w:rsidR="00443C67" w:rsidRPr="00453217">
        <w:rPr>
          <w:rFonts w:ascii="David" w:hAnsi="David" w:cs="David" w:hint="cs"/>
          <w:sz w:val="24"/>
          <w:szCs w:val="24"/>
          <w:rtl/>
        </w:rPr>
        <w:t>, ולא כללה התייחסות לקיומה של חניה אחרת לנכים באזור</w:t>
      </w:r>
      <w:r w:rsidR="00892B53" w:rsidRPr="00453217">
        <w:rPr>
          <w:rFonts w:ascii="David" w:hAnsi="David" w:cs="David" w:hint="cs"/>
          <w:sz w:val="24"/>
          <w:szCs w:val="24"/>
          <w:rtl/>
        </w:rPr>
        <w:t>. הערה בעניין זה גם לא נכללה בדוח שרשם הפקח (ועל כך בהמשך)</w:t>
      </w:r>
      <w:r w:rsidR="00443C67" w:rsidRPr="00453217">
        <w:rPr>
          <w:rFonts w:ascii="David" w:hAnsi="David" w:cs="David" w:hint="cs"/>
          <w:sz w:val="24"/>
          <w:szCs w:val="24"/>
          <w:rtl/>
        </w:rPr>
        <w:t xml:space="preserve">. מעדות הפקח ניתן ללמוד כי נתונים אלה לא נבדקו על ידו באופן מעמיק לאור ההחלטה לאכוף את כל הרכבים החונים ברחבת ההצלה ללא </w:t>
      </w:r>
      <w:r w:rsidR="00892B53" w:rsidRPr="00453217">
        <w:rPr>
          <w:rFonts w:ascii="David" w:hAnsi="David" w:cs="David" w:hint="cs"/>
          <w:sz w:val="24"/>
          <w:szCs w:val="24"/>
          <w:rtl/>
        </w:rPr>
        <w:t>יוצא דופן</w:t>
      </w:r>
      <w:r w:rsidR="00443C67" w:rsidRPr="00453217">
        <w:rPr>
          <w:rFonts w:ascii="David" w:hAnsi="David" w:cs="David" w:hint="cs"/>
          <w:sz w:val="24"/>
          <w:szCs w:val="24"/>
          <w:rtl/>
        </w:rPr>
        <w:t xml:space="preserve">. </w:t>
      </w:r>
    </w:p>
    <w:p w:rsidR="00F03F13" w:rsidRDefault="00F03F13" w:rsidP="006B49BC">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hint="cs"/>
          <w:sz w:val="24"/>
          <w:szCs w:val="24"/>
          <w:rtl/>
        </w:rPr>
        <w:t xml:space="preserve">בהעדר התייחסות מצד הפקח, </w:t>
      </w:r>
      <w:r w:rsidR="00E24780" w:rsidRPr="00E24780">
        <w:rPr>
          <w:rFonts w:ascii="David" w:hAnsi="David" w:cs="David" w:hint="cs"/>
          <w:sz w:val="24"/>
          <w:szCs w:val="24"/>
          <w:rtl/>
        </w:rPr>
        <w:t xml:space="preserve">לא </w:t>
      </w:r>
      <w:r>
        <w:rPr>
          <w:rFonts w:ascii="David" w:hAnsi="David" w:cs="David" w:hint="cs"/>
          <w:sz w:val="24"/>
          <w:szCs w:val="24"/>
          <w:rtl/>
        </w:rPr>
        <w:t xml:space="preserve">ניתן </w:t>
      </w:r>
      <w:r w:rsidR="006B49BC">
        <w:rPr>
          <w:rFonts w:ascii="David" w:hAnsi="David" w:cs="David" w:hint="cs"/>
          <w:sz w:val="24"/>
          <w:szCs w:val="24"/>
          <w:rtl/>
        </w:rPr>
        <w:t xml:space="preserve">אפוא </w:t>
      </w:r>
      <w:r>
        <w:rPr>
          <w:rFonts w:ascii="David" w:hAnsi="David" w:cs="David" w:hint="cs"/>
          <w:sz w:val="24"/>
          <w:szCs w:val="24"/>
          <w:rtl/>
        </w:rPr>
        <w:t xml:space="preserve">לבחון באופן מעמיק את השאלה בדבר </w:t>
      </w:r>
      <w:r w:rsidR="00E24780" w:rsidRPr="00E24780">
        <w:rPr>
          <w:rFonts w:ascii="David" w:hAnsi="David" w:cs="David" w:hint="cs"/>
          <w:sz w:val="24"/>
          <w:szCs w:val="24"/>
          <w:rtl/>
        </w:rPr>
        <w:t xml:space="preserve">קיומם של חניונים באזור או נתונים קונקרטיים </w:t>
      </w:r>
      <w:r w:rsidR="00E24780" w:rsidRPr="00E24780">
        <w:rPr>
          <w:rFonts w:ascii="David" w:hAnsi="David" w:cs="David"/>
          <w:sz w:val="24"/>
          <w:szCs w:val="24"/>
          <w:rtl/>
        </w:rPr>
        <w:t>לגבי מיקומם המדויק</w:t>
      </w:r>
      <w:r w:rsidR="00E24780" w:rsidRPr="00E24780">
        <w:rPr>
          <w:rFonts w:ascii="David" w:hAnsi="David" w:cs="David" w:hint="cs"/>
          <w:sz w:val="24"/>
          <w:szCs w:val="24"/>
          <w:rtl/>
        </w:rPr>
        <w:t xml:space="preserve"> ו</w:t>
      </w:r>
      <w:r w:rsidR="00892B53" w:rsidRPr="00E24780">
        <w:rPr>
          <w:rFonts w:ascii="David" w:hAnsi="David" w:cs="David"/>
          <w:sz w:val="24"/>
          <w:szCs w:val="24"/>
          <w:rtl/>
        </w:rPr>
        <w:t>המרחק הפיזי בינם לבין המקום בו חנה הנאשם</w:t>
      </w:r>
      <w:r w:rsidR="00E24780" w:rsidRPr="00E24780">
        <w:rPr>
          <w:rFonts w:ascii="David" w:hAnsi="David" w:cs="David" w:hint="cs"/>
          <w:sz w:val="24"/>
          <w:szCs w:val="24"/>
          <w:rtl/>
        </w:rPr>
        <w:t xml:space="preserve"> על מנת ללמוד האם מדובר במרחק "סביר"</w:t>
      </w:r>
      <w:r>
        <w:rPr>
          <w:rFonts w:ascii="David" w:hAnsi="David" w:cs="David" w:hint="cs"/>
          <w:sz w:val="24"/>
          <w:szCs w:val="24"/>
          <w:rtl/>
        </w:rPr>
        <w:t xml:space="preserve">. לא הונחה </w:t>
      </w:r>
      <w:r w:rsidR="006B49BC">
        <w:rPr>
          <w:rFonts w:ascii="David" w:hAnsi="David" w:cs="David" w:hint="cs"/>
          <w:sz w:val="24"/>
          <w:szCs w:val="24"/>
          <w:rtl/>
        </w:rPr>
        <w:t>ג</w:t>
      </w:r>
      <w:r>
        <w:rPr>
          <w:rFonts w:ascii="David" w:hAnsi="David" w:cs="David" w:hint="cs"/>
          <w:sz w:val="24"/>
          <w:szCs w:val="24"/>
          <w:rtl/>
        </w:rPr>
        <w:t xml:space="preserve">ם התייחסות לשאלה האם </w:t>
      </w:r>
      <w:r w:rsidR="00892B53" w:rsidRPr="00E24780">
        <w:rPr>
          <w:rFonts w:ascii="David" w:hAnsi="David" w:cs="David"/>
          <w:sz w:val="24"/>
          <w:szCs w:val="24"/>
          <w:rtl/>
        </w:rPr>
        <w:t>בזמן אמת היה מקום פנוי באחד מהחניונים הסמוכים</w:t>
      </w:r>
      <w:r w:rsidR="00E24780" w:rsidRPr="00E24780">
        <w:rPr>
          <w:rFonts w:ascii="David" w:hAnsi="David" w:cs="David" w:hint="cs"/>
          <w:sz w:val="24"/>
          <w:szCs w:val="24"/>
          <w:rtl/>
        </w:rPr>
        <w:t xml:space="preserve"> או חניית נכים פנויה והכל על מנת </w:t>
      </w:r>
      <w:r w:rsidR="00892B53" w:rsidRPr="00E24780">
        <w:rPr>
          <w:rFonts w:ascii="David" w:hAnsi="David" w:cs="David"/>
          <w:sz w:val="24"/>
          <w:szCs w:val="24"/>
          <w:rtl/>
        </w:rPr>
        <w:t>שניתן יהיה לעמוד באופן מדויק יותר אחר התקיימות</w:t>
      </w:r>
      <w:r w:rsidR="00E24780" w:rsidRPr="00E24780">
        <w:rPr>
          <w:rFonts w:ascii="David" w:hAnsi="David" w:cs="David" w:hint="cs"/>
          <w:sz w:val="24"/>
          <w:szCs w:val="24"/>
          <w:rtl/>
        </w:rPr>
        <w:t xml:space="preserve"> התנאים המפורטים בסעיף 2 לחוק חניה לנכים. </w:t>
      </w:r>
    </w:p>
    <w:p w:rsidR="00892B53" w:rsidRPr="00E24780" w:rsidRDefault="00E24780" w:rsidP="00F03F13">
      <w:pPr>
        <w:pStyle w:val="aa"/>
        <w:spacing w:before="160" w:line="360" w:lineRule="auto"/>
        <w:ind w:left="357"/>
        <w:contextualSpacing w:val="0"/>
        <w:jc w:val="both"/>
        <w:rPr>
          <w:rFonts w:ascii="David" w:hAnsi="David" w:cs="David"/>
          <w:sz w:val="24"/>
          <w:szCs w:val="24"/>
        </w:rPr>
      </w:pPr>
      <w:r w:rsidRPr="00E24780">
        <w:rPr>
          <w:rFonts w:ascii="David" w:hAnsi="David" w:cs="David" w:hint="cs"/>
          <w:sz w:val="24"/>
          <w:szCs w:val="24"/>
          <w:rtl/>
        </w:rPr>
        <w:t>הנאשם, מנגד, פרס את מצבו הרפואי ושיעורי הנכות ממנה הוא סובל, לרבות הקושי בהליכה ממושכת וסכנת הנפילה</w:t>
      </w:r>
      <w:r w:rsidR="00453217">
        <w:rPr>
          <w:rFonts w:ascii="David" w:hAnsi="David" w:cs="David" w:hint="cs"/>
          <w:sz w:val="24"/>
          <w:szCs w:val="24"/>
          <w:rtl/>
        </w:rPr>
        <w:t xml:space="preserve"> וכן העיד שחיפש מקום חניה חלופי ללא הצלחה</w:t>
      </w:r>
      <w:r w:rsidRPr="00E24780">
        <w:rPr>
          <w:rFonts w:ascii="David" w:hAnsi="David" w:cs="David" w:hint="cs"/>
          <w:sz w:val="24"/>
          <w:szCs w:val="24"/>
          <w:rtl/>
        </w:rPr>
        <w:t xml:space="preserve">. </w:t>
      </w:r>
      <w:r w:rsidRPr="00E24780">
        <w:rPr>
          <w:rFonts w:ascii="David" w:hAnsi="David" w:cs="David"/>
          <w:color w:val="000000"/>
          <w:sz w:val="24"/>
          <w:szCs w:val="24"/>
          <w:rtl/>
        </w:rPr>
        <w:t xml:space="preserve">ברור כי </w:t>
      </w:r>
      <w:r w:rsidRPr="00E24780">
        <w:rPr>
          <w:rFonts w:ascii="David" w:hAnsi="David" w:cs="David"/>
          <w:sz w:val="24"/>
          <w:szCs w:val="24"/>
          <w:rtl/>
        </w:rPr>
        <w:t>גם מרחק של עשרות מטרים בודדים עשוי להיות, בנסיבות מסוימות, מכביד על מי שהוא בעל מוגבלות או נכות וכי גם דרישה לחצות כבישים סואנים עלולה להפוך את אפשרות החניה בחניון סמוך לבלתי ריאלית.</w:t>
      </w:r>
      <w:r w:rsidRPr="00E24780">
        <w:rPr>
          <w:rFonts w:ascii="David" w:hAnsi="David" w:cs="David" w:hint="cs"/>
          <w:sz w:val="24"/>
          <w:szCs w:val="24"/>
          <w:rtl/>
        </w:rPr>
        <w:t xml:space="preserve"> </w:t>
      </w:r>
      <w:proofErr w:type="spellStart"/>
      <w:r w:rsidR="00892B53" w:rsidRPr="00E24780">
        <w:rPr>
          <w:rFonts w:ascii="David" w:hAnsi="David" w:cs="David"/>
          <w:sz w:val="24"/>
          <w:szCs w:val="24"/>
          <w:rtl/>
        </w:rPr>
        <w:t>בעפ"א</w:t>
      </w:r>
      <w:proofErr w:type="spellEnd"/>
      <w:r w:rsidR="00892B53" w:rsidRPr="00E24780">
        <w:rPr>
          <w:rFonts w:ascii="David" w:hAnsi="David" w:cs="David"/>
          <w:sz w:val="24"/>
          <w:szCs w:val="24"/>
          <w:rtl/>
        </w:rPr>
        <w:t xml:space="preserve"> 36321-10-11 </w:t>
      </w:r>
      <w:proofErr w:type="spellStart"/>
      <w:r w:rsidR="00892B53" w:rsidRPr="00E24780">
        <w:rPr>
          <w:rFonts w:ascii="David" w:hAnsi="David" w:cs="David"/>
          <w:b/>
          <w:bCs/>
          <w:sz w:val="24"/>
          <w:szCs w:val="24"/>
          <w:rtl/>
        </w:rPr>
        <w:t>ורקנשטל</w:t>
      </w:r>
      <w:proofErr w:type="spellEnd"/>
      <w:r w:rsidR="00892B53" w:rsidRPr="00E24780">
        <w:rPr>
          <w:rFonts w:ascii="David" w:hAnsi="David" w:cs="David"/>
          <w:b/>
          <w:bCs/>
          <w:sz w:val="24"/>
          <w:szCs w:val="24"/>
          <w:rtl/>
        </w:rPr>
        <w:t xml:space="preserve"> נ' עיריית תל-אביב</w:t>
      </w:r>
      <w:r w:rsidR="00453217">
        <w:rPr>
          <w:rFonts w:ascii="David" w:hAnsi="David" w:cs="David"/>
          <w:sz w:val="24"/>
          <w:szCs w:val="24"/>
          <w:rtl/>
        </w:rPr>
        <w:t xml:space="preserve"> (08.12.2011</w:t>
      </w:r>
      <w:r w:rsidR="00453217">
        <w:rPr>
          <w:rFonts w:ascii="David" w:hAnsi="David" w:cs="David" w:hint="cs"/>
          <w:sz w:val="24"/>
          <w:szCs w:val="24"/>
          <w:rtl/>
        </w:rPr>
        <w:t xml:space="preserve">) </w:t>
      </w:r>
      <w:r w:rsidR="00892B53" w:rsidRPr="00E24780">
        <w:rPr>
          <w:rFonts w:ascii="David" w:hAnsi="David" w:cs="David"/>
          <w:sz w:val="24"/>
          <w:szCs w:val="24"/>
          <w:rtl/>
        </w:rPr>
        <w:t xml:space="preserve">נקבע כי </w:t>
      </w:r>
      <w:r w:rsidR="00892B53" w:rsidRPr="00E24780">
        <w:rPr>
          <w:rFonts w:ascii="David" w:hAnsi="David" w:cs="David"/>
          <w:color w:val="000000"/>
          <w:sz w:val="24"/>
          <w:szCs w:val="24"/>
          <w:rtl/>
        </w:rPr>
        <w:t xml:space="preserve">אין לקבוע מסמרות בנוגע למרחק המדויק שאמור להיות בין מקום החניה ובין החניון הקרוב, וכי כל מקרה ייבחן לגופו ועל פי הנסיבות, כאשר במסגרת זו יישקל גם מצבו של הנכה. </w:t>
      </w:r>
    </w:p>
    <w:p w:rsidR="0034390C" w:rsidRPr="0034390C" w:rsidRDefault="0034390C" w:rsidP="004A5DF9">
      <w:pPr>
        <w:pStyle w:val="aa"/>
        <w:numPr>
          <w:ilvl w:val="0"/>
          <w:numId w:val="7"/>
        </w:numPr>
        <w:spacing w:line="360" w:lineRule="auto"/>
        <w:ind w:left="357" w:hanging="357"/>
        <w:contextualSpacing w:val="0"/>
        <w:jc w:val="both"/>
        <w:rPr>
          <w:rFonts w:ascii="David" w:hAnsi="David" w:cs="David"/>
          <w:sz w:val="24"/>
          <w:szCs w:val="24"/>
        </w:rPr>
      </w:pPr>
      <w:r w:rsidRPr="0034390C">
        <w:rPr>
          <w:rFonts w:ascii="David" w:hAnsi="David" w:cs="David"/>
          <w:sz w:val="24"/>
          <w:szCs w:val="24"/>
          <w:rtl/>
        </w:rPr>
        <w:t xml:space="preserve">יש לזכור כי תכלית החוק </w:t>
      </w:r>
      <w:proofErr w:type="spellStart"/>
      <w:r w:rsidRPr="0034390C">
        <w:rPr>
          <w:rFonts w:ascii="David" w:hAnsi="David" w:cs="David"/>
          <w:sz w:val="24"/>
          <w:szCs w:val="24"/>
          <w:rtl/>
        </w:rPr>
        <w:t>היתה</w:t>
      </w:r>
      <w:proofErr w:type="spellEnd"/>
      <w:r w:rsidRPr="0034390C">
        <w:rPr>
          <w:rFonts w:ascii="David" w:hAnsi="David" w:cs="David"/>
          <w:sz w:val="24"/>
          <w:szCs w:val="24"/>
          <w:rtl/>
        </w:rPr>
        <w:t xml:space="preserve"> להקל הקלה על ציבור הנכים ובעלי המוגבלויות וחתירה לשוויון בינם לבין כלל האוכלוסייה בתחומי הניידות והגישה למקומות, על ידי מתן אפשרות לנכים לחנות במקומות האסורים לאחרים</w:t>
      </w:r>
      <w:r>
        <w:rPr>
          <w:rFonts w:ascii="David" w:hAnsi="David" w:cs="David" w:hint="cs"/>
          <w:sz w:val="24"/>
          <w:szCs w:val="24"/>
          <w:rtl/>
        </w:rPr>
        <w:t xml:space="preserve">. </w:t>
      </w:r>
      <w:r w:rsidRPr="0034390C">
        <w:rPr>
          <w:rFonts w:ascii="David" w:hAnsi="David" w:cs="David"/>
          <w:sz w:val="24"/>
          <w:szCs w:val="24"/>
          <w:rtl/>
        </w:rPr>
        <w:t xml:space="preserve">הקשחת האפשרות בפני הנכה להוכיח </w:t>
      </w:r>
      <w:r w:rsidRPr="0034390C">
        <w:rPr>
          <w:rFonts w:ascii="David" w:hAnsi="David" w:cs="David" w:hint="cs"/>
          <w:sz w:val="24"/>
          <w:szCs w:val="24"/>
          <w:rtl/>
        </w:rPr>
        <w:t xml:space="preserve">התקיימות תנאי החוק תחטיא את מטרת החוק. </w:t>
      </w:r>
    </w:p>
    <w:p w:rsidR="0034390C" w:rsidRPr="00316C70" w:rsidRDefault="0034390C" w:rsidP="004A5DF9">
      <w:pPr>
        <w:pStyle w:val="aa"/>
        <w:numPr>
          <w:ilvl w:val="0"/>
          <w:numId w:val="7"/>
        </w:numPr>
        <w:spacing w:line="360" w:lineRule="auto"/>
        <w:ind w:left="357" w:hanging="357"/>
        <w:contextualSpacing w:val="0"/>
        <w:jc w:val="both"/>
        <w:rPr>
          <w:rFonts w:ascii="David" w:hAnsi="David" w:cs="David"/>
          <w:sz w:val="24"/>
          <w:szCs w:val="24"/>
          <w:u w:val="single"/>
        </w:rPr>
      </w:pPr>
      <w:r w:rsidRPr="00316C70">
        <w:rPr>
          <w:rFonts w:ascii="David" w:hAnsi="David" w:cs="David"/>
          <w:sz w:val="24"/>
          <w:szCs w:val="24"/>
          <w:u w:val="single"/>
          <w:rtl/>
        </w:rPr>
        <w:t xml:space="preserve">על כן, באיזון הכולל, </w:t>
      </w:r>
      <w:r w:rsidRPr="00316C70">
        <w:rPr>
          <w:rFonts w:ascii="David" w:hAnsi="David" w:cs="David" w:hint="cs"/>
          <w:color w:val="000000"/>
          <w:sz w:val="24"/>
          <w:szCs w:val="24"/>
          <w:u w:val="single"/>
          <w:rtl/>
        </w:rPr>
        <w:t>בשים לב לעדות הנאשם בעניין זה, אל מול העדר בדיקה או התייחסות קונקרטית מצד הפקח</w:t>
      </w:r>
      <w:r w:rsidRPr="00316C70">
        <w:rPr>
          <w:rFonts w:ascii="David" w:hAnsi="David" w:cs="David"/>
          <w:u w:val="single"/>
          <w:rtl/>
        </w:rPr>
        <w:t xml:space="preserve"> וברוח העקרונות שנקבעו בחוק חניה לנכים שנועד להקל על ציבור הנכים ובעלי המוגבלויות –</w:t>
      </w:r>
      <w:r w:rsidRPr="00316C70">
        <w:rPr>
          <w:rFonts w:ascii="David" w:hAnsi="David" w:cs="David" w:hint="cs"/>
          <w:color w:val="000000"/>
          <w:sz w:val="24"/>
          <w:szCs w:val="24"/>
          <w:u w:val="single"/>
          <w:rtl/>
        </w:rPr>
        <w:t xml:space="preserve"> אני סבורה כי הנאשם עמד בנטל. </w:t>
      </w:r>
    </w:p>
    <w:p w:rsidR="003D7DEE" w:rsidRDefault="003D7DEE" w:rsidP="004A5DF9">
      <w:pPr>
        <w:spacing w:before="160" w:line="360" w:lineRule="auto"/>
        <w:jc w:val="both"/>
        <w:rPr>
          <w:rFonts w:ascii="David" w:hAnsi="David"/>
          <w:b/>
          <w:bCs/>
          <w:u w:val="single"/>
        </w:rPr>
      </w:pPr>
    </w:p>
    <w:p w:rsidR="003D7DEE" w:rsidRDefault="003D7DEE" w:rsidP="004A5DF9">
      <w:pPr>
        <w:spacing w:before="160" w:line="360" w:lineRule="auto"/>
        <w:jc w:val="both"/>
        <w:rPr>
          <w:rFonts w:ascii="David" w:hAnsi="David"/>
          <w:b/>
          <w:bCs/>
          <w:u w:val="single"/>
          <w:rtl/>
        </w:rPr>
      </w:pPr>
      <w:proofErr w:type="spellStart"/>
      <w:r>
        <w:rPr>
          <w:rFonts w:ascii="David" w:hAnsi="David"/>
          <w:b/>
          <w:bCs/>
          <w:u w:val="single"/>
          <w:rtl/>
        </w:rPr>
        <w:t>אי־ציון</w:t>
      </w:r>
      <w:proofErr w:type="spellEnd"/>
      <w:r>
        <w:rPr>
          <w:rFonts w:ascii="David" w:hAnsi="David"/>
          <w:b/>
          <w:bCs/>
          <w:u w:val="single"/>
          <w:rtl/>
        </w:rPr>
        <w:t xml:space="preserve"> קיומו של תו נכה בעת מתן הדוח</w:t>
      </w:r>
      <w:r w:rsidR="006D00F8">
        <w:rPr>
          <w:rFonts w:ascii="David" w:hAnsi="David" w:hint="cs"/>
          <w:b/>
          <w:bCs/>
          <w:u w:val="single"/>
          <w:rtl/>
        </w:rPr>
        <w:t xml:space="preserve"> והעדר תיעוד לשיקול דעת הפקח</w:t>
      </w:r>
    </w:p>
    <w:p w:rsidR="003D7DEE"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כאשר מדובר ברכב הנושא תג נכה על הפקח לשקול, בעת רישום הדוח, את כלל הנתונים הצריכים לעניין, </w:t>
      </w:r>
      <w:r w:rsidR="00457163">
        <w:rPr>
          <w:rFonts w:ascii="David" w:hAnsi="David" w:cs="David" w:hint="cs"/>
          <w:sz w:val="24"/>
          <w:szCs w:val="24"/>
          <w:rtl/>
        </w:rPr>
        <w:t xml:space="preserve">הן את </w:t>
      </w:r>
      <w:r w:rsidRPr="00457163">
        <w:rPr>
          <w:rFonts w:ascii="David" w:hAnsi="David" w:cs="David"/>
          <w:sz w:val="24"/>
          <w:szCs w:val="24"/>
          <w:u w:val="single"/>
          <w:rtl/>
        </w:rPr>
        <w:t>עובדת קיומו של תג הנכה</w:t>
      </w:r>
      <w:r>
        <w:rPr>
          <w:rFonts w:ascii="David" w:hAnsi="David" w:cs="David"/>
          <w:sz w:val="24"/>
          <w:szCs w:val="24"/>
          <w:rtl/>
        </w:rPr>
        <w:t xml:space="preserve"> ו</w:t>
      </w:r>
      <w:r w:rsidR="00457163">
        <w:rPr>
          <w:rFonts w:ascii="David" w:hAnsi="David" w:cs="David" w:hint="cs"/>
          <w:sz w:val="24"/>
          <w:szCs w:val="24"/>
          <w:rtl/>
        </w:rPr>
        <w:t>הן התייחסות ל</w:t>
      </w:r>
      <w:r>
        <w:rPr>
          <w:rFonts w:ascii="David" w:hAnsi="David" w:cs="David"/>
          <w:sz w:val="24"/>
          <w:szCs w:val="24"/>
          <w:rtl/>
        </w:rPr>
        <w:t xml:space="preserve">שאלה </w:t>
      </w:r>
      <w:r w:rsidR="00457163">
        <w:rPr>
          <w:rFonts w:ascii="David" w:hAnsi="David" w:cs="David" w:hint="cs"/>
          <w:sz w:val="24"/>
          <w:szCs w:val="24"/>
          <w:rtl/>
        </w:rPr>
        <w:t xml:space="preserve">האם החניה עומדת </w:t>
      </w:r>
      <w:r w:rsidR="00457163" w:rsidRPr="00457163">
        <w:rPr>
          <w:rFonts w:ascii="David" w:hAnsi="David" w:cs="David" w:hint="cs"/>
          <w:sz w:val="24"/>
          <w:szCs w:val="24"/>
          <w:u w:val="single"/>
          <w:rtl/>
        </w:rPr>
        <w:t>בתנאי חוק החניה לנכים</w:t>
      </w:r>
      <w:r w:rsidR="00457163">
        <w:rPr>
          <w:rFonts w:ascii="David" w:hAnsi="David" w:cs="David" w:hint="cs"/>
          <w:sz w:val="24"/>
          <w:szCs w:val="24"/>
          <w:rtl/>
        </w:rPr>
        <w:t xml:space="preserve">. </w:t>
      </w:r>
      <w:r>
        <w:rPr>
          <w:rFonts w:ascii="David" w:hAnsi="David" w:cs="David"/>
          <w:sz w:val="24"/>
          <w:szCs w:val="24"/>
          <w:rtl/>
        </w:rPr>
        <w:t xml:space="preserve">בשים לב לכך שאין מצופה מן הפקח לזכור את פרטיו של כל אירוע ואירוע, בוודאי בחלוף זמן רב, ומשום החשיבות שבהתחקות אחר אופן הפעלת שיקול הדעת בזמן אמת, רישום הערה בדוח על ידי הפקח כי מדובר ברכב נכה והתייחסות להתקיימות תנאי חוק החניה לנכים, מהווה נקודת </w:t>
      </w:r>
      <w:r>
        <w:rPr>
          <w:rFonts w:ascii="David" w:hAnsi="David" w:cs="David"/>
          <w:b/>
          <w:bCs/>
          <w:sz w:val="24"/>
          <w:szCs w:val="24"/>
          <w:rtl/>
        </w:rPr>
        <w:t>ביקורת משמעותית והכרחית</w:t>
      </w:r>
      <w:r>
        <w:rPr>
          <w:rFonts w:ascii="David" w:hAnsi="David" w:cs="David"/>
          <w:sz w:val="24"/>
          <w:szCs w:val="24"/>
          <w:rtl/>
        </w:rPr>
        <w:t xml:space="preserve"> על מנת לקיים בחינה שבדיעבד. זאת, כאשר אין מחלוקת שמדובר בחניה האסורה לכלל הציבור אולם עשויה להיות מותרת לרכב נכה בהתקיים התנאים שבחוק. </w:t>
      </w:r>
    </w:p>
    <w:p w:rsidR="003D7DEE" w:rsidRDefault="003D7DEE" w:rsidP="00D20FA3">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כך למשל, קיימת חשיבות ראשונה במעלה להבין האם הפקח רשם את הדוח משום שסבר שלא מתקיימים ארבעת התנאים המצטברים שבסעיף 2</w:t>
      </w:r>
      <w:r w:rsidR="00D20FA3">
        <w:rPr>
          <w:rFonts w:ascii="David" w:hAnsi="David" w:cs="David" w:hint="cs"/>
          <w:sz w:val="24"/>
          <w:szCs w:val="24"/>
          <w:rtl/>
        </w:rPr>
        <w:t>,</w:t>
      </w:r>
      <w:r>
        <w:rPr>
          <w:rFonts w:ascii="David" w:hAnsi="David" w:cs="David"/>
          <w:sz w:val="24"/>
          <w:szCs w:val="24"/>
          <w:rtl/>
        </w:rPr>
        <w:t xml:space="preserve"> כולם או חלקם</w:t>
      </w:r>
      <w:r w:rsidR="00D20FA3">
        <w:rPr>
          <w:rFonts w:ascii="David" w:hAnsi="David" w:cs="David" w:hint="cs"/>
          <w:sz w:val="24"/>
          <w:szCs w:val="24"/>
          <w:rtl/>
        </w:rPr>
        <w:t>,</w:t>
      </w:r>
      <w:r>
        <w:rPr>
          <w:rFonts w:ascii="David" w:hAnsi="David" w:cs="David"/>
          <w:sz w:val="24"/>
          <w:szCs w:val="24"/>
          <w:rtl/>
        </w:rPr>
        <w:t xml:space="preserve"> שכן הנטל כאמור להוכיח עמידה בתנאים אלה מוטל על הנאשם (למשל – האם קיים חניון ציבורי במקום, האם החניה הפריעה לתנועה וכו'). באותו אופן, קיימת חשיבות להבין האם הדוח נרשם חרף התקיימות ארבעת התנאים, משום שמדובר בחניה האסורה גם לרכב נכה בניגוד לסעיף 3 לחוק חניה לנכים.</w:t>
      </w:r>
      <w:r w:rsidR="00FC2DCB">
        <w:rPr>
          <w:rFonts w:ascii="David" w:hAnsi="David" w:cs="David" w:hint="cs"/>
          <w:sz w:val="24"/>
          <w:szCs w:val="24"/>
          <w:rtl/>
        </w:rPr>
        <w:t xml:space="preserve"> בנוסף, אין זה ראוי כי הנאשם ייחשף לסיבה שבגינה נרשם הדוח רק במועד שמיעת הראיות בתיק והדבר משליך מטבע הדברים גם על האפשרות להסתמך על עדות</w:t>
      </w:r>
      <w:r w:rsidR="00457163">
        <w:rPr>
          <w:rFonts w:ascii="David" w:hAnsi="David" w:cs="David" w:hint="cs"/>
          <w:sz w:val="24"/>
          <w:szCs w:val="24"/>
          <w:rtl/>
        </w:rPr>
        <w:t xml:space="preserve">ו של פקח שנמסרת בנסיבות אלה, </w:t>
      </w:r>
      <w:r w:rsidR="00FC2DCB">
        <w:rPr>
          <w:rFonts w:ascii="David" w:hAnsi="David" w:cs="David" w:hint="cs"/>
          <w:sz w:val="24"/>
          <w:szCs w:val="24"/>
          <w:rtl/>
        </w:rPr>
        <w:t xml:space="preserve">שעה ששיקול דעתו לא תועד בזמן אמת. </w:t>
      </w:r>
      <w:r>
        <w:rPr>
          <w:rFonts w:ascii="David" w:hAnsi="David" w:cs="David"/>
          <w:sz w:val="24"/>
          <w:szCs w:val="24"/>
          <w:rtl/>
        </w:rPr>
        <w:t xml:space="preserve"> </w:t>
      </w:r>
    </w:p>
    <w:p w:rsidR="003D7DEE" w:rsidRDefault="003D7DEE" w:rsidP="007678BA">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לפיכך, וכפי שנפסק לא אחת, </w:t>
      </w:r>
      <w:proofErr w:type="spellStart"/>
      <w:r>
        <w:rPr>
          <w:rFonts w:ascii="David" w:hAnsi="David" w:cs="David"/>
          <w:sz w:val="24"/>
          <w:szCs w:val="24"/>
          <w:rtl/>
        </w:rPr>
        <w:t>אי־ציון</w:t>
      </w:r>
      <w:proofErr w:type="spellEnd"/>
      <w:r>
        <w:rPr>
          <w:rFonts w:ascii="David" w:hAnsi="David" w:cs="David"/>
          <w:sz w:val="24"/>
          <w:szCs w:val="24"/>
          <w:rtl/>
        </w:rPr>
        <w:t xml:space="preserve"> העובדה שמדובר ברכב שנושא תו נכה</w:t>
      </w:r>
      <w:r w:rsidR="0034390C">
        <w:rPr>
          <w:rFonts w:ascii="David" w:hAnsi="David" w:cs="David" w:hint="cs"/>
          <w:sz w:val="24"/>
          <w:szCs w:val="24"/>
          <w:rtl/>
        </w:rPr>
        <w:t xml:space="preserve"> והעדר תיעוד לאופן הפעלת שיקול דעת הפקח בזמן אמת</w:t>
      </w:r>
      <w:r>
        <w:rPr>
          <w:rFonts w:ascii="David" w:hAnsi="David" w:cs="David"/>
          <w:sz w:val="24"/>
          <w:szCs w:val="24"/>
          <w:rtl/>
        </w:rPr>
        <w:t xml:space="preserve">, אינו פגם טכני גרידא, אלא </w:t>
      </w:r>
      <w:r>
        <w:rPr>
          <w:rFonts w:ascii="David" w:hAnsi="David" w:cs="David"/>
          <w:b/>
          <w:bCs/>
          <w:sz w:val="24"/>
          <w:szCs w:val="24"/>
          <w:rtl/>
        </w:rPr>
        <w:t>פגם מהותי שיורד לשורשו של עניין</w:t>
      </w:r>
      <w:r>
        <w:rPr>
          <w:rFonts w:ascii="David" w:hAnsi="David" w:cs="David"/>
          <w:sz w:val="24"/>
          <w:szCs w:val="24"/>
          <w:rtl/>
        </w:rPr>
        <w:t xml:space="preserve">, ואין מדובר בנתון שניתן לבררו בחלוף זמן רב מבלי שתועד בזמן אמת. ר' תיק 2239-03-16 מדינת ישראל נ' איגרא (12.02.2017), ח"נ 22739-10-22 </w:t>
      </w:r>
      <w:r>
        <w:rPr>
          <w:rFonts w:ascii="David" w:hAnsi="David" w:cs="David"/>
          <w:b/>
          <w:bCs/>
          <w:sz w:val="24"/>
          <w:szCs w:val="24"/>
          <w:rtl/>
        </w:rPr>
        <w:t xml:space="preserve">מדינת ישראל נ' </w:t>
      </w:r>
      <w:proofErr w:type="spellStart"/>
      <w:r>
        <w:rPr>
          <w:rFonts w:ascii="David" w:hAnsi="David" w:cs="David"/>
          <w:b/>
          <w:bCs/>
          <w:sz w:val="24"/>
          <w:szCs w:val="24"/>
          <w:rtl/>
        </w:rPr>
        <w:t>סלמה</w:t>
      </w:r>
      <w:proofErr w:type="spellEnd"/>
      <w:r>
        <w:rPr>
          <w:rFonts w:ascii="David" w:hAnsi="David" w:cs="David"/>
          <w:sz w:val="24"/>
          <w:szCs w:val="24"/>
          <w:rtl/>
        </w:rPr>
        <w:t xml:space="preserve"> (09.03.2023) וההפניות שם – בשני תיקים אלו ציין בית המשפט (כבוד סגן הנשיאה פרי) </w:t>
      </w:r>
      <w:r>
        <w:rPr>
          <w:rFonts w:ascii="David" w:hAnsi="David" w:cs="David"/>
          <w:color w:val="000000"/>
          <w:sz w:val="24"/>
          <w:szCs w:val="24"/>
          <w:rtl/>
        </w:rPr>
        <w:t>כי</w:t>
      </w:r>
      <w:r>
        <w:rPr>
          <w:rFonts w:ascii="David" w:hAnsi="David" w:cs="David"/>
          <w:color w:val="000000"/>
          <w:sz w:val="24"/>
          <w:szCs w:val="24"/>
        </w:rPr>
        <w:t xml:space="preserve"> </w:t>
      </w:r>
      <w:r>
        <w:rPr>
          <w:rFonts w:ascii="David" w:hAnsi="David" w:cs="David"/>
          <w:color w:val="000000"/>
          <w:sz w:val="24"/>
          <w:szCs w:val="24"/>
          <w:rtl/>
        </w:rPr>
        <w:t>מדובר</w:t>
      </w:r>
      <w:r>
        <w:rPr>
          <w:rFonts w:ascii="David" w:hAnsi="David" w:cs="David"/>
          <w:color w:val="000000"/>
          <w:sz w:val="24"/>
          <w:szCs w:val="24"/>
        </w:rPr>
        <w:t xml:space="preserve"> </w:t>
      </w:r>
      <w:r>
        <w:rPr>
          <w:rFonts w:ascii="David" w:hAnsi="David" w:cs="David"/>
          <w:color w:val="000000"/>
          <w:sz w:val="24"/>
          <w:szCs w:val="24"/>
          <w:rtl/>
        </w:rPr>
        <w:t>בפגם</w:t>
      </w:r>
      <w:r>
        <w:rPr>
          <w:rFonts w:ascii="David" w:hAnsi="David" w:cs="David"/>
          <w:color w:val="000000"/>
          <w:sz w:val="24"/>
          <w:szCs w:val="24"/>
        </w:rPr>
        <w:t xml:space="preserve"> </w:t>
      </w:r>
      <w:r>
        <w:rPr>
          <w:rFonts w:ascii="David" w:hAnsi="David" w:cs="David"/>
          <w:color w:val="000000"/>
          <w:sz w:val="24"/>
          <w:szCs w:val="24"/>
          <w:rtl/>
        </w:rPr>
        <w:t>מהותי</w:t>
      </w:r>
      <w:r>
        <w:rPr>
          <w:rFonts w:ascii="David" w:hAnsi="David" w:cs="David"/>
          <w:color w:val="000000"/>
          <w:sz w:val="24"/>
          <w:szCs w:val="24"/>
        </w:rPr>
        <w:t xml:space="preserve"> </w:t>
      </w:r>
      <w:r>
        <w:rPr>
          <w:rFonts w:ascii="David" w:hAnsi="David" w:cs="David"/>
          <w:color w:val="000000"/>
          <w:sz w:val="24"/>
          <w:szCs w:val="24"/>
          <w:rtl/>
        </w:rPr>
        <w:t>ומובנה</w:t>
      </w:r>
      <w:r>
        <w:rPr>
          <w:rFonts w:ascii="David" w:hAnsi="David" w:cs="David"/>
          <w:color w:val="000000"/>
          <w:sz w:val="24"/>
          <w:szCs w:val="24"/>
        </w:rPr>
        <w:t xml:space="preserve"> </w:t>
      </w:r>
      <w:r>
        <w:rPr>
          <w:rFonts w:ascii="David" w:hAnsi="David" w:cs="David"/>
          <w:color w:val="000000"/>
          <w:sz w:val="24"/>
          <w:szCs w:val="24"/>
          <w:rtl/>
        </w:rPr>
        <w:t>בכתב</w:t>
      </w:r>
      <w:r>
        <w:rPr>
          <w:rFonts w:ascii="David" w:hAnsi="David" w:cs="David"/>
          <w:color w:val="000000"/>
          <w:sz w:val="24"/>
          <w:szCs w:val="24"/>
        </w:rPr>
        <w:t xml:space="preserve"> </w:t>
      </w:r>
      <w:r>
        <w:rPr>
          <w:rFonts w:ascii="David" w:hAnsi="David" w:cs="David"/>
          <w:color w:val="000000"/>
          <w:sz w:val="24"/>
          <w:szCs w:val="24"/>
          <w:rtl/>
        </w:rPr>
        <w:t>האישום</w:t>
      </w:r>
      <w:r>
        <w:rPr>
          <w:rFonts w:ascii="David" w:hAnsi="David" w:cs="David"/>
          <w:color w:val="000000"/>
          <w:sz w:val="24"/>
          <w:szCs w:val="24"/>
        </w:rPr>
        <w:t xml:space="preserve"> </w:t>
      </w:r>
      <w:r>
        <w:rPr>
          <w:rFonts w:ascii="David" w:hAnsi="David" w:cs="David"/>
          <w:color w:val="000000"/>
          <w:sz w:val="24"/>
          <w:szCs w:val="24"/>
          <w:rtl/>
        </w:rPr>
        <w:t>המלמד, כחזקה עובדתית, שהפקח</w:t>
      </w:r>
      <w:r>
        <w:rPr>
          <w:rFonts w:ascii="David" w:hAnsi="David" w:cs="David"/>
          <w:color w:val="000000"/>
          <w:sz w:val="24"/>
          <w:szCs w:val="24"/>
        </w:rPr>
        <w:t xml:space="preserve"> </w:t>
      </w:r>
      <w:r>
        <w:rPr>
          <w:rFonts w:ascii="David" w:hAnsi="David" w:cs="David"/>
          <w:color w:val="000000"/>
          <w:sz w:val="24"/>
          <w:szCs w:val="24"/>
          <w:rtl/>
        </w:rPr>
        <w:t>לא</w:t>
      </w:r>
      <w:r>
        <w:rPr>
          <w:rFonts w:ascii="David" w:hAnsi="David" w:cs="David"/>
          <w:color w:val="000000"/>
          <w:sz w:val="24"/>
          <w:szCs w:val="24"/>
        </w:rPr>
        <w:t xml:space="preserve"> </w:t>
      </w:r>
      <w:r>
        <w:rPr>
          <w:rFonts w:ascii="David" w:hAnsi="David" w:cs="David"/>
          <w:color w:val="000000"/>
          <w:sz w:val="24"/>
          <w:szCs w:val="24"/>
          <w:rtl/>
        </w:rPr>
        <w:t>שקל</w:t>
      </w:r>
      <w:r>
        <w:rPr>
          <w:rFonts w:ascii="David" w:hAnsi="David" w:cs="David"/>
          <w:color w:val="000000"/>
          <w:sz w:val="24"/>
          <w:szCs w:val="24"/>
        </w:rPr>
        <w:t xml:space="preserve"> </w:t>
      </w:r>
      <w:r>
        <w:rPr>
          <w:rFonts w:ascii="David" w:hAnsi="David" w:cs="David"/>
          <w:color w:val="000000"/>
          <w:sz w:val="24"/>
          <w:szCs w:val="24"/>
          <w:rtl/>
        </w:rPr>
        <w:t>את</w:t>
      </w:r>
      <w:r>
        <w:rPr>
          <w:rFonts w:ascii="David" w:hAnsi="David" w:cs="David"/>
          <w:color w:val="000000"/>
          <w:sz w:val="24"/>
          <w:szCs w:val="24"/>
        </w:rPr>
        <w:t xml:space="preserve"> </w:t>
      </w:r>
      <w:r>
        <w:rPr>
          <w:rFonts w:ascii="David" w:hAnsi="David" w:cs="David"/>
          <w:color w:val="000000"/>
          <w:sz w:val="24"/>
          <w:szCs w:val="24"/>
          <w:rtl/>
        </w:rPr>
        <w:t>כל</w:t>
      </w:r>
      <w:r>
        <w:rPr>
          <w:rFonts w:ascii="David" w:hAnsi="David" w:cs="David"/>
          <w:color w:val="000000"/>
          <w:sz w:val="24"/>
          <w:szCs w:val="24"/>
        </w:rPr>
        <w:t xml:space="preserve"> </w:t>
      </w:r>
      <w:r>
        <w:rPr>
          <w:rFonts w:ascii="David" w:hAnsi="David" w:cs="David"/>
          <w:color w:val="000000"/>
          <w:sz w:val="24"/>
          <w:szCs w:val="24"/>
          <w:rtl/>
        </w:rPr>
        <w:t>השיקולים</w:t>
      </w:r>
      <w:r>
        <w:rPr>
          <w:rFonts w:ascii="David" w:hAnsi="David" w:cs="David"/>
          <w:color w:val="000000"/>
          <w:sz w:val="24"/>
          <w:szCs w:val="24"/>
        </w:rPr>
        <w:t xml:space="preserve"> </w:t>
      </w:r>
      <w:r>
        <w:rPr>
          <w:rFonts w:ascii="David" w:hAnsi="David" w:cs="David"/>
          <w:color w:val="000000"/>
          <w:sz w:val="24"/>
          <w:szCs w:val="24"/>
          <w:rtl/>
        </w:rPr>
        <w:t>הצריכים</w:t>
      </w:r>
      <w:r>
        <w:rPr>
          <w:rFonts w:ascii="David" w:hAnsi="David" w:cs="David"/>
          <w:color w:val="000000"/>
          <w:sz w:val="24"/>
          <w:szCs w:val="24"/>
        </w:rPr>
        <w:t xml:space="preserve"> </w:t>
      </w:r>
      <w:r>
        <w:rPr>
          <w:rFonts w:ascii="David" w:hAnsi="David" w:cs="David"/>
          <w:color w:val="000000"/>
          <w:sz w:val="24"/>
          <w:szCs w:val="24"/>
          <w:rtl/>
        </w:rPr>
        <w:t>לעניין</w:t>
      </w:r>
      <w:r>
        <w:rPr>
          <w:rFonts w:ascii="David" w:hAnsi="David" w:cs="David"/>
          <w:color w:val="000000"/>
          <w:sz w:val="24"/>
          <w:szCs w:val="24"/>
        </w:rPr>
        <w:t xml:space="preserve"> </w:t>
      </w:r>
      <w:r>
        <w:rPr>
          <w:rFonts w:ascii="David" w:hAnsi="David" w:cs="David"/>
          <w:color w:val="000000"/>
          <w:sz w:val="24"/>
          <w:szCs w:val="24"/>
          <w:rtl/>
        </w:rPr>
        <w:t>על</w:t>
      </w:r>
      <w:r>
        <w:rPr>
          <w:rFonts w:ascii="David" w:hAnsi="David" w:cs="David"/>
          <w:color w:val="000000"/>
          <w:sz w:val="24"/>
          <w:szCs w:val="24"/>
        </w:rPr>
        <w:t>-</w:t>
      </w:r>
      <w:r>
        <w:rPr>
          <w:rFonts w:ascii="David" w:hAnsi="David" w:cs="David"/>
          <w:color w:val="000000"/>
          <w:sz w:val="24"/>
          <w:szCs w:val="24"/>
          <w:rtl/>
        </w:rPr>
        <w:t>פי</w:t>
      </w:r>
      <w:r>
        <w:rPr>
          <w:rFonts w:ascii="David" w:hAnsi="David" w:cs="David"/>
          <w:color w:val="000000"/>
          <w:sz w:val="24"/>
          <w:szCs w:val="24"/>
        </w:rPr>
        <w:t xml:space="preserve"> </w:t>
      </w:r>
      <w:r>
        <w:rPr>
          <w:rFonts w:ascii="David" w:hAnsi="David" w:cs="David"/>
          <w:color w:val="000000"/>
          <w:sz w:val="24"/>
          <w:szCs w:val="24"/>
          <w:rtl/>
        </w:rPr>
        <w:t>חוק</w:t>
      </w:r>
      <w:r>
        <w:rPr>
          <w:rFonts w:ascii="David" w:hAnsi="David" w:cs="David"/>
          <w:color w:val="000000"/>
          <w:sz w:val="24"/>
          <w:szCs w:val="24"/>
        </w:rPr>
        <w:t xml:space="preserve"> </w:t>
      </w:r>
      <w:r>
        <w:rPr>
          <w:rFonts w:ascii="David" w:hAnsi="David" w:cs="David"/>
          <w:color w:val="000000"/>
          <w:sz w:val="24"/>
          <w:szCs w:val="24"/>
          <w:rtl/>
        </w:rPr>
        <w:t>החניה</w:t>
      </w:r>
      <w:r>
        <w:rPr>
          <w:rFonts w:ascii="David" w:hAnsi="David" w:cs="David"/>
          <w:color w:val="000000"/>
          <w:sz w:val="24"/>
          <w:szCs w:val="24"/>
        </w:rPr>
        <w:t xml:space="preserve"> </w:t>
      </w:r>
      <w:r>
        <w:rPr>
          <w:rFonts w:ascii="David" w:hAnsi="David" w:cs="David"/>
          <w:color w:val="000000"/>
          <w:sz w:val="24"/>
          <w:szCs w:val="24"/>
          <w:rtl/>
        </w:rPr>
        <w:t xml:space="preserve">לנכים. </w:t>
      </w:r>
      <w:r w:rsidR="007678BA">
        <w:rPr>
          <w:rFonts w:ascii="David" w:hAnsi="David" w:cs="David" w:hint="cs"/>
          <w:color w:val="000000"/>
          <w:sz w:val="24"/>
          <w:szCs w:val="24"/>
          <w:rtl/>
        </w:rPr>
        <w:t>אפנה גם ל</w:t>
      </w:r>
      <w:r>
        <w:rPr>
          <w:rFonts w:ascii="David" w:hAnsi="David" w:cs="David"/>
          <w:color w:val="000000"/>
          <w:sz w:val="24"/>
          <w:szCs w:val="24"/>
          <w:rtl/>
        </w:rPr>
        <w:t xml:space="preserve">החלטותיי </w:t>
      </w:r>
      <w:r>
        <w:rPr>
          <w:rFonts w:ascii="David" w:hAnsi="David" w:cs="David"/>
          <w:sz w:val="24"/>
          <w:szCs w:val="24"/>
          <w:rtl/>
        </w:rPr>
        <w:t xml:space="preserve">בח"נ 18517-02-24 </w:t>
      </w:r>
      <w:r>
        <w:rPr>
          <w:rFonts w:ascii="David" w:hAnsi="David" w:cs="David"/>
          <w:b/>
          <w:bCs/>
          <w:sz w:val="24"/>
          <w:szCs w:val="24"/>
          <w:rtl/>
        </w:rPr>
        <w:t>מדינת ישראל נ' כהן</w:t>
      </w:r>
      <w:r>
        <w:rPr>
          <w:rFonts w:ascii="David" w:hAnsi="David" w:cs="David"/>
          <w:sz w:val="24"/>
          <w:szCs w:val="24"/>
          <w:rtl/>
        </w:rPr>
        <w:t xml:space="preserve"> (07.04.2024), ח"נ 9244-02-24 </w:t>
      </w:r>
      <w:r>
        <w:rPr>
          <w:rFonts w:ascii="David" w:hAnsi="David" w:cs="David"/>
          <w:b/>
          <w:bCs/>
          <w:sz w:val="24"/>
          <w:szCs w:val="24"/>
          <w:rtl/>
        </w:rPr>
        <w:t>מדינת ישראל נ' כהן</w:t>
      </w:r>
      <w:r>
        <w:rPr>
          <w:rFonts w:ascii="David" w:hAnsi="David" w:cs="David"/>
          <w:sz w:val="24"/>
          <w:szCs w:val="24"/>
          <w:rtl/>
        </w:rPr>
        <w:t xml:space="preserve"> (07.04.2024) וח"נ 22831-02-24 </w:t>
      </w:r>
      <w:r>
        <w:rPr>
          <w:rFonts w:ascii="David" w:hAnsi="David" w:cs="David"/>
          <w:b/>
          <w:bCs/>
          <w:sz w:val="24"/>
          <w:szCs w:val="24"/>
          <w:rtl/>
        </w:rPr>
        <w:t>מדינת ישראל נ' בנימיני</w:t>
      </w:r>
      <w:r>
        <w:rPr>
          <w:rFonts w:ascii="David" w:hAnsi="David" w:cs="David"/>
          <w:sz w:val="24"/>
          <w:szCs w:val="24"/>
          <w:rtl/>
        </w:rPr>
        <w:t xml:space="preserve"> (14.04.2024). </w:t>
      </w:r>
    </w:p>
    <w:p w:rsidR="00453217" w:rsidRDefault="00C46333"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hint="cs"/>
          <w:sz w:val="24"/>
          <w:szCs w:val="24"/>
          <w:rtl/>
        </w:rPr>
        <w:t>אשר למסמך ת/4 שהגישה המאשימה. מדובר במסמך שהופק מהמערכת הממוחשבת, בדיעבד, לאחר רישום הדוח על ידי הפקח, ובו נכללו פרטי הדוח שכבר נרשמו על ידי הפקח והוזנו אל תוך המערכת הממוחשבת. אין מדובר במסמך שהעד עצמו ערך, כאשר חלק מהנתונים המוזנים בו (למשל בעניין קיומו או העדרו של תג נכה) אינם נתונים שהעד עצמו הזין אלא נתונים שקיימים בתוך המערכת. שעה שאין מדובר במסמך שהעד ערך ומשלא הוגש באמצעות תעודת עובד ציבור, קיים קושי לקבל את המסמך או לית</w:t>
      </w:r>
      <w:r w:rsidR="00453217">
        <w:rPr>
          <w:rFonts w:ascii="David" w:hAnsi="David" w:cs="David" w:hint="cs"/>
          <w:sz w:val="24"/>
          <w:szCs w:val="24"/>
          <w:rtl/>
        </w:rPr>
        <w:t xml:space="preserve">ן לו משקל משמעותי בתיק. </w:t>
      </w:r>
      <w:r>
        <w:rPr>
          <w:rFonts w:ascii="David" w:hAnsi="David" w:cs="David" w:hint="cs"/>
          <w:sz w:val="24"/>
          <w:szCs w:val="24"/>
          <w:rtl/>
        </w:rPr>
        <w:t>מכל מקום, גם אם אתייחס לעדות הפקח כי נתון בדבר קיומו של תג נכה לרכ</w:t>
      </w:r>
      <w:r w:rsidR="00453217">
        <w:rPr>
          <w:rFonts w:ascii="David" w:hAnsi="David" w:cs="David" w:hint="cs"/>
          <w:sz w:val="24"/>
          <w:szCs w:val="24"/>
          <w:rtl/>
        </w:rPr>
        <w:t>ב</w:t>
      </w:r>
      <w:r>
        <w:rPr>
          <w:rFonts w:ascii="David" w:hAnsi="David" w:cs="David" w:hint="cs"/>
          <w:sz w:val="24"/>
          <w:szCs w:val="24"/>
          <w:rtl/>
        </w:rPr>
        <w:t xml:space="preserve"> </w:t>
      </w:r>
      <w:r w:rsidR="00453217">
        <w:rPr>
          <w:rFonts w:ascii="David" w:hAnsi="David" w:cs="David" w:hint="cs"/>
          <w:sz w:val="24"/>
          <w:szCs w:val="24"/>
          <w:rtl/>
        </w:rPr>
        <w:t xml:space="preserve">אמור </w:t>
      </w:r>
      <w:r>
        <w:rPr>
          <w:rFonts w:ascii="David" w:hAnsi="David" w:cs="David" w:hint="cs"/>
          <w:sz w:val="24"/>
          <w:szCs w:val="24"/>
          <w:rtl/>
        </w:rPr>
        <w:t xml:space="preserve">להיות מובא לפניו באופן ממוחשב בעת רישום הדוח, הדבר אינו מחליף את החובה לתעד את </w:t>
      </w:r>
      <w:r w:rsidR="00453217">
        <w:rPr>
          <w:rFonts w:ascii="David" w:hAnsi="David" w:cs="David" w:hint="cs"/>
          <w:sz w:val="24"/>
          <w:szCs w:val="24"/>
          <w:rtl/>
        </w:rPr>
        <w:t xml:space="preserve">הדבר בדוח וכן לפרט את שיקול דעתו בעת מתן הדוח, </w:t>
      </w:r>
      <w:r>
        <w:rPr>
          <w:rFonts w:ascii="David" w:hAnsi="David" w:cs="David" w:hint="cs"/>
          <w:sz w:val="24"/>
          <w:szCs w:val="24"/>
          <w:rtl/>
        </w:rPr>
        <w:t>כמפורט לעיל</w:t>
      </w:r>
      <w:r w:rsidR="00453217">
        <w:rPr>
          <w:rFonts w:ascii="David" w:hAnsi="David" w:cs="David" w:hint="cs"/>
          <w:sz w:val="24"/>
          <w:szCs w:val="24"/>
          <w:rtl/>
        </w:rPr>
        <w:t xml:space="preserve">, על מנת שניתן יהיה להתחקות אחר הנתונים שעמדו בפניו בזמן אמת והאופן שבו הופעל שיקול דעתו בעת רישום הדוח. </w:t>
      </w:r>
    </w:p>
    <w:p w:rsidR="00453217" w:rsidRDefault="00453217" w:rsidP="004A5DF9">
      <w:pPr>
        <w:spacing w:before="160" w:line="360" w:lineRule="auto"/>
        <w:jc w:val="both"/>
        <w:rPr>
          <w:rFonts w:ascii="David" w:hAnsi="David"/>
          <w:b/>
          <w:bCs/>
          <w:u w:val="single"/>
          <w:rtl/>
        </w:rPr>
      </w:pPr>
    </w:p>
    <w:p w:rsidR="003D7DEE" w:rsidRDefault="003D7DEE" w:rsidP="004A5DF9">
      <w:pPr>
        <w:spacing w:before="160" w:line="360" w:lineRule="auto"/>
        <w:jc w:val="both"/>
        <w:rPr>
          <w:rFonts w:ascii="David" w:hAnsi="David"/>
          <w:rtl/>
        </w:rPr>
      </w:pPr>
      <w:r>
        <w:rPr>
          <w:rFonts w:ascii="David" w:hAnsi="David"/>
          <w:b/>
          <w:bCs/>
          <w:u w:val="single"/>
          <w:rtl/>
        </w:rPr>
        <w:t>ניסוח כתב האישום, העדר קוהרנטיות באשר לפרטי האישום וזכות הנאשם לדעת מפני מה הוא מתבקש להתגונן</w:t>
      </w:r>
    </w:p>
    <w:p w:rsidR="003D7DEE"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כתב האישום שהוגש כנגד הנאשם מכיל, בפרק "תיאור העבירה" את הדברים הבאים: </w:t>
      </w:r>
      <w:r w:rsidRPr="007678BA">
        <w:rPr>
          <w:rFonts w:ascii="David" w:hAnsi="David" w:cs="David"/>
          <w:b/>
          <w:bCs/>
          <w:sz w:val="24"/>
          <w:szCs w:val="24"/>
          <w:rtl/>
        </w:rPr>
        <w:t xml:space="preserve">"העמיד/החנה/עצר/השאיר רכב באי ציות </w:t>
      </w:r>
      <w:r>
        <w:rPr>
          <w:rFonts w:ascii="David" w:hAnsi="David" w:cs="David"/>
          <w:b/>
          <w:bCs/>
          <w:sz w:val="24"/>
          <w:szCs w:val="24"/>
          <w:rtl/>
        </w:rPr>
        <w:t>לתמרור האוסר חניה</w:t>
      </w:r>
      <w:r>
        <w:rPr>
          <w:rFonts w:ascii="David" w:hAnsi="David" w:cs="David"/>
          <w:sz w:val="24"/>
          <w:szCs w:val="24"/>
          <w:rtl/>
        </w:rPr>
        <w:t xml:space="preserve">". כתב האישום אינו מפרט, מעבר לכך, מהן העובדות המיוחסות לנאשם או מהו התמרור שבניגוד אליו העמיד הנאשם את רכבו. </w:t>
      </w:r>
    </w:p>
    <w:p w:rsidR="003D7DEE"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עיון בפרטי הדוח שנרשם על ידי הפקח (</w:t>
      </w:r>
      <w:r>
        <w:rPr>
          <w:rFonts w:ascii="David" w:hAnsi="David" w:cs="David"/>
          <w:b/>
          <w:bCs/>
          <w:sz w:val="24"/>
          <w:szCs w:val="24"/>
          <w:rtl/>
        </w:rPr>
        <w:t>ת/1</w:t>
      </w:r>
      <w:r>
        <w:rPr>
          <w:rFonts w:ascii="David" w:hAnsi="David" w:cs="David"/>
          <w:sz w:val="24"/>
          <w:szCs w:val="24"/>
          <w:rtl/>
        </w:rPr>
        <w:t xml:space="preserve">) מלמד כי הפקח רשם בתיאור העבירה את הדברים הבאים: </w:t>
      </w:r>
      <w:r w:rsidRPr="007678BA">
        <w:rPr>
          <w:rFonts w:ascii="David" w:hAnsi="David" w:cs="David"/>
          <w:b/>
          <w:bCs/>
          <w:sz w:val="24"/>
          <w:szCs w:val="24"/>
          <w:rtl/>
        </w:rPr>
        <w:t xml:space="preserve">"העמיד/החנה/עצר/השאיר רכב באי ציות לתמרור האוסר חניה בניגוד </w:t>
      </w:r>
      <w:proofErr w:type="spellStart"/>
      <w:r w:rsidRPr="007678BA">
        <w:rPr>
          <w:rFonts w:ascii="David" w:hAnsi="David" w:cs="David"/>
          <w:b/>
          <w:bCs/>
          <w:sz w:val="24"/>
          <w:szCs w:val="24"/>
          <w:rtl/>
        </w:rPr>
        <w:t>לתק</w:t>
      </w:r>
      <w:proofErr w:type="spellEnd"/>
      <w:r w:rsidRPr="007678BA">
        <w:rPr>
          <w:rFonts w:ascii="David" w:hAnsi="David" w:cs="David"/>
          <w:b/>
          <w:bCs/>
          <w:sz w:val="24"/>
          <w:szCs w:val="24"/>
          <w:rtl/>
        </w:rPr>
        <w:t xml:space="preserve">' 22 לת"ת </w:t>
      </w:r>
      <w:r>
        <w:rPr>
          <w:rFonts w:ascii="David" w:hAnsi="David" w:cs="David"/>
          <w:b/>
          <w:bCs/>
          <w:sz w:val="24"/>
          <w:szCs w:val="24"/>
          <w:rtl/>
        </w:rPr>
        <w:t>תמרורים 432 (איסור חניה)</w:t>
      </w:r>
      <w:r>
        <w:rPr>
          <w:rFonts w:ascii="David" w:hAnsi="David" w:cs="David"/>
          <w:sz w:val="24"/>
          <w:szCs w:val="24"/>
          <w:rtl/>
        </w:rPr>
        <w:t xml:space="preserve">". תמרור 432 הוא התמרור איסור האוסר חניה בצד הדרך שבה מוצב התמרור. </w:t>
      </w:r>
    </w:p>
    <w:p w:rsidR="003D7DEE"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בהמשך, בישיבת הכפירה כמפורט לעיל, טען ב"כ המאשימה כי מדובר בחניה </w:t>
      </w:r>
      <w:r>
        <w:rPr>
          <w:rFonts w:ascii="David" w:hAnsi="David" w:cs="David"/>
          <w:b/>
          <w:bCs/>
          <w:sz w:val="24"/>
          <w:szCs w:val="24"/>
          <w:rtl/>
        </w:rPr>
        <w:t>בשטח של 2 מ' מברז כיבוי</w:t>
      </w:r>
      <w:r>
        <w:rPr>
          <w:rFonts w:ascii="David" w:hAnsi="David" w:cs="David"/>
          <w:sz w:val="24"/>
          <w:szCs w:val="24"/>
          <w:rtl/>
        </w:rPr>
        <w:t xml:space="preserve">, ובטיעוניו בכתב לא עמד עוד על טענה זו והתמקד בטיעון לפיו הרכב עמד בניגוד לחוק חניה לנכים כאשר מוקד הדיון בישיבת ההוכחות היה העמדת הרכב </w:t>
      </w:r>
      <w:r>
        <w:rPr>
          <w:rFonts w:ascii="David" w:hAnsi="David" w:cs="David"/>
          <w:b/>
          <w:bCs/>
          <w:sz w:val="24"/>
          <w:szCs w:val="24"/>
          <w:rtl/>
        </w:rPr>
        <w:t>בשטח המעטפה</w:t>
      </w:r>
      <w:r>
        <w:rPr>
          <w:rFonts w:ascii="David" w:hAnsi="David" w:cs="David"/>
          <w:sz w:val="24"/>
          <w:szCs w:val="24"/>
          <w:rtl/>
        </w:rPr>
        <w:t xml:space="preserve">. </w:t>
      </w:r>
    </w:p>
    <w:p w:rsidR="003D7DEE" w:rsidRDefault="003D7DEE" w:rsidP="004A5DF9">
      <w:pPr>
        <w:pStyle w:val="aa"/>
        <w:numPr>
          <w:ilvl w:val="0"/>
          <w:numId w:val="7"/>
        </w:numPr>
        <w:spacing w:before="160" w:line="360" w:lineRule="auto"/>
        <w:ind w:left="357" w:hanging="357"/>
        <w:contextualSpacing w:val="0"/>
        <w:jc w:val="both"/>
        <w:rPr>
          <w:rFonts w:ascii="David" w:hAnsi="David" w:cs="David"/>
          <w:sz w:val="24"/>
          <w:szCs w:val="24"/>
        </w:rPr>
      </w:pPr>
      <w:r>
        <w:rPr>
          <w:rFonts w:ascii="David" w:hAnsi="David" w:cs="David"/>
          <w:sz w:val="24"/>
          <w:szCs w:val="24"/>
          <w:rtl/>
        </w:rPr>
        <w:t xml:space="preserve">עיון בתמונות הדוח מלמד כי במקום מופיע שלט מלבני לבן שעליו נכתב "אין חניה פרט לרכב כיבוי והצלה" אולם </w:t>
      </w:r>
      <w:r w:rsidRPr="00453217">
        <w:rPr>
          <w:rFonts w:ascii="David" w:hAnsi="David" w:cs="David"/>
          <w:b/>
          <w:bCs/>
          <w:sz w:val="24"/>
          <w:szCs w:val="24"/>
          <w:rtl/>
        </w:rPr>
        <w:t>אין תיעוד לקיומו של</w:t>
      </w:r>
      <w:r>
        <w:rPr>
          <w:rFonts w:ascii="David" w:hAnsi="David" w:cs="David"/>
          <w:sz w:val="24"/>
          <w:szCs w:val="24"/>
          <w:rtl/>
        </w:rPr>
        <w:t xml:space="preserve"> </w:t>
      </w:r>
      <w:r>
        <w:rPr>
          <w:rFonts w:ascii="David" w:hAnsi="David" w:cs="David"/>
          <w:b/>
          <w:bCs/>
          <w:sz w:val="24"/>
          <w:szCs w:val="24"/>
          <w:rtl/>
        </w:rPr>
        <w:t>תמרור 432</w:t>
      </w:r>
      <w:r>
        <w:rPr>
          <w:rFonts w:ascii="David" w:hAnsi="David" w:cs="David"/>
          <w:sz w:val="24"/>
          <w:szCs w:val="24"/>
          <w:rtl/>
        </w:rPr>
        <w:t xml:space="preserve"> (וכאמור גם לא ברז כיבוי). </w:t>
      </w:r>
    </w:p>
    <w:p w:rsidR="003D7DEE" w:rsidRPr="001F30FF" w:rsidRDefault="003D7DEE" w:rsidP="004A5DF9">
      <w:pPr>
        <w:pStyle w:val="aa"/>
        <w:numPr>
          <w:ilvl w:val="0"/>
          <w:numId w:val="7"/>
        </w:numPr>
        <w:spacing w:before="160" w:line="360" w:lineRule="auto"/>
        <w:ind w:left="357" w:hanging="357"/>
        <w:contextualSpacing w:val="0"/>
        <w:jc w:val="both"/>
        <w:rPr>
          <w:rFonts w:ascii="David" w:hAnsi="David" w:cs="David"/>
          <w:b/>
          <w:bCs/>
          <w:color w:val="000000"/>
          <w:sz w:val="24"/>
          <w:szCs w:val="24"/>
        </w:rPr>
      </w:pPr>
      <w:r>
        <w:rPr>
          <w:rFonts w:ascii="David" w:hAnsi="David" w:cs="David"/>
          <w:sz w:val="24"/>
          <w:szCs w:val="24"/>
          <w:rtl/>
        </w:rPr>
        <w:t>גם בעבירות קלות, קיימת חשיבות בהקפדה וב</w:t>
      </w:r>
      <w:r w:rsidR="00453217">
        <w:rPr>
          <w:rFonts w:ascii="David" w:hAnsi="David" w:cs="David" w:hint="cs"/>
          <w:sz w:val="24"/>
          <w:szCs w:val="24"/>
          <w:rtl/>
        </w:rPr>
        <w:t>ש</w:t>
      </w:r>
      <w:r>
        <w:rPr>
          <w:rFonts w:ascii="David" w:hAnsi="David" w:cs="David"/>
          <w:sz w:val="24"/>
          <w:szCs w:val="24"/>
          <w:rtl/>
        </w:rPr>
        <w:t xml:space="preserve">מירה על סדרי הדין, על מנת שלא לקפח את הגנתם של נאשמים ולאפשר להם להתגונן כראוי. נאשם אמור להיערך לדיון במשפטו כאשר הוא מודע לפרטי </w:t>
      </w:r>
      <w:proofErr w:type="spellStart"/>
      <w:r>
        <w:rPr>
          <w:rFonts w:ascii="David" w:hAnsi="David" w:cs="David"/>
          <w:sz w:val="24"/>
          <w:szCs w:val="24"/>
          <w:rtl/>
        </w:rPr>
        <w:t>האישומים</w:t>
      </w:r>
      <w:proofErr w:type="spellEnd"/>
      <w:r>
        <w:rPr>
          <w:rFonts w:ascii="David" w:hAnsi="David" w:cs="David"/>
          <w:sz w:val="24"/>
          <w:szCs w:val="24"/>
          <w:rtl/>
        </w:rPr>
        <w:t xml:space="preserve"> המופנים כלפיו ולהיערך להם </w:t>
      </w:r>
      <w:r w:rsidR="00453217">
        <w:rPr>
          <w:rFonts w:ascii="David" w:hAnsi="David" w:cs="David" w:hint="cs"/>
          <w:sz w:val="24"/>
          <w:szCs w:val="24"/>
          <w:rtl/>
        </w:rPr>
        <w:t xml:space="preserve">להגנתו כראוי, בפרט כאשר </w:t>
      </w:r>
      <w:r>
        <w:rPr>
          <w:rFonts w:ascii="David" w:hAnsi="David" w:cs="David"/>
          <w:sz w:val="24"/>
          <w:szCs w:val="24"/>
          <w:rtl/>
        </w:rPr>
        <w:t xml:space="preserve">מדובר בעבירות מסוג אחריות קפידה כאשר די </w:t>
      </w:r>
      <w:r w:rsidR="00453217">
        <w:rPr>
          <w:rFonts w:ascii="David" w:hAnsi="David" w:cs="David" w:hint="cs"/>
          <w:sz w:val="24"/>
          <w:szCs w:val="24"/>
          <w:rtl/>
        </w:rPr>
        <w:t>בהוכחת היסוד העובדתי לשם הרשעה בעבירה</w:t>
      </w:r>
      <w:r>
        <w:rPr>
          <w:rFonts w:ascii="David" w:hAnsi="David" w:cs="David"/>
          <w:sz w:val="24"/>
          <w:szCs w:val="24"/>
          <w:rtl/>
        </w:rPr>
        <w:t xml:space="preserve">. </w:t>
      </w:r>
      <w:proofErr w:type="spellStart"/>
      <w:r w:rsidRPr="001F30FF">
        <w:rPr>
          <w:rFonts w:ascii="David" w:hAnsi="David" w:cs="David"/>
          <w:sz w:val="24"/>
          <w:szCs w:val="24"/>
          <w:rtl/>
        </w:rPr>
        <w:t>בר"ע</w:t>
      </w:r>
      <w:proofErr w:type="spellEnd"/>
      <w:r w:rsidRPr="001F30FF">
        <w:rPr>
          <w:rFonts w:ascii="David" w:hAnsi="David" w:cs="David"/>
          <w:sz w:val="24"/>
          <w:szCs w:val="24"/>
          <w:rtl/>
        </w:rPr>
        <w:t xml:space="preserve"> 213/83</w:t>
      </w:r>
      <w:r>
        <w:rPr>
          <w:rFonts w:ascii="David" w:hAnsi="David" w:cs="David"/>
          <w:b/>
          <w:bCs/>
          <w:sz w:val="24"/>
          <w:szCs w:val="24"/>
          <w:rtl/>
        </w:rPr>
        <w:t xml:space="preserve"> אסולין נ' מדינת ישראל </w:t>
      </w:r>
      <w:r w:rsidRPr="001F30FF">
        <w:rPr>
          <w:rFonts w:ascii="David" w:hAnsi="David" w:cs="David"/>
          <w:sz w:val="24"/>
          <w:szCs w:val="24"/>
          <w:rtl/>
        </w:rPr>
        <w:t>(26.02.1984)</w:t>
      </w:r>
      <w:r>
        <w:rPr>
          <w:rFonts w:ascii="David" w:hAnsi="David" w:cs="David"/>
          <w:sz w:val="24"/>
          <w:szCs w:val="24"/>
          <w:rtl/>
        </w:rPr>
        <w:t xml:space="preserve"> קבע בית המשפט העליון את הדברים הבאים:</w:t>
      </w:r>
      <w:r>
        <w:rPr>
          <w:rFonts w:ascii="David" w:hAnsi="David" w:cs="David"/>
          <w:b/>
          <w:bCs/>
          <w:sz w:val="24"/>
          <w:szCs w:val="24"/>
          <w:rtl/>
        </w:rPr>
        <w:t xml:space="preserve"> </w:t>
      </w:r>
      <w:r w:rsidRPr="001F30FF">
        <w:rPr>
          <w:rFonts w:ascii="David" w:hAnsi="David" w:cs="David"/>
          <w:b/>
          <w:bCs/>
          <w:color w:val="000000"/>
          <w:sz w:val="24"/>
          <w:szCs w:val="24"/>
          <w:rtl/>
        </w:rPr>
        <w:t>"ומשום ההחמרה עם הנאשם באשר ליסוד</w:t>
      </w:r>
      <w:r w:rsidRPr="001F30FF">
        <w:rPr>
          <w:rFonts w:ascii="David" w:hAnsi="David" w:cs="David"/>
          <w:b/>
          <w:bCs/>
          <w:color w:val="000000"/>
          <w:sz w:val="24"/>
          <w:szCs w:val="24"/>
        </w:rPr>
        <w:t> </w:t>
      </w:r>
      <w:r w:rsidRPr="001F30FF">
        <w:rPr>
          <w:rFonts w:ascii="David" w:hAnsi="David" w:cs="David"/>
          <w:b/>
          <w:bCs/>
          <w:color w:val="000000"/>
          <w:sz w:val="24"/>
          <w:szCs w:val="24"/>
          <w:rtl/>
        </w:rPr>
        <w:t>הנפשי, יקפיד בית המשפט הקפדה מלאה על קיום היסודות העובדתיים</w:t>
      </w:r>
      <w:r w:rsidRPr="001F30FF">
        <w:rPr>
          <w:rFonts w:ascii="David" w:hAnsi="David" w:cs="David"/>
          <w:b/>
          <w:bCs/>
          <w:color w:val="000000"/>
          <w:sz w:val="24"/>
          <w:szCs w:val="24"/>
        </w:rPr>
        <w:t xml:space="preserve"> </w:t>
      </w:r>
      <w:r w:rsidRPr="001F30FF">
        <w:rPr>
          <w:rFonts w:ascii="David" w:hAnsi="David" w:cs="David"/>
          <w:b/>
          <w:bCs/>
          <w:color w:val="000000"/>
          <w:sz w:val="24"/>
          <w:szCs w:val="24"/>
          <w:rtl/>
        </w:rPr>
        <w:t>הנדרשים בעבירה ויבחן כראוי, אם אמנם התקיימו יסודות אלה. למותר להוסיף, כי כאשר</w:t>
      </w:r>
      <w:r w:rsidRPr="001F30FF">
        <w:rPr>
          <w:rFonts w:ascii="David" w:hAnsi="David" w:cs="David"/>
          <w:b/>
          <w:bCs/>
          <w:color w:val="000000"/>
          <w:sz w:val="24"/>
          <w:szCs w:val="24"/>
        </w:rPr>
        <w:t xml:space="preserve"> </w:t>
      </w:r>
      <w:r w:rsidRPr="001F30FF">
        <w:rPr>
          <w:rFonts w:ascii="David" w:hAnsi="David" w:cs="David"/>
          <w:b/>
          <w:bCs/>
          <w:color w:val="000000"/>
          <w:sz w:val="24"/>
          <w:szCs w:val="24"/>
          <w:rtl/>
        </w:rPr>
        <w:t xml:space="preserve">מתעורר ספק בדבר קיומו של יסוד עובדתי זה או אחר הנדרש בעבירה, די בכך כדי </w:t>
      </w:r>
      <w:proofErr w:type="spellStart"/>
      <w:r w:rsidRPr="001F30FF">
        <w:rPr>
          <w:rFonts w:ascii="David" w:hAnsi="David" w:cs="David"/>
          <w:b/>
          <w:bCs/>
          <w:color w:val="000000"/>
          <w:sz w:val="24"/>
          <w:szCs w:val="24"/>
          <w:rtl/>
        </w:rPr>
        <w:t>להנות</w:t>
      </w:r>
      <w:proofErr w:type="spellEnd"/>
      <w:r w:rsidRPr="001F30FF">
        <w:rPr>
          <w:rFonts w:ascii="David" w:hAnsi="David" w:cs="David"/>
          <w:b/>
          <w:bCs/>
          <w:color w:val="000000"/>
          <w:sz w:val="24"/>
          <w:szCs w:val="24"/>
        </w:rPr>
        <w:t xml:space="preserve"> </w:t>
      </w:r>
      <w:r w:rsidRPr="001F30FF">
        <w:rPr>
          <w:rFonts w:ascii="David" w:hAnsi="David" w:cs="David"/>
          <w:b/>
          <w:bCs/>
          <w:color w:val="000000"/>
          <w:sz w:val="24"/>
          <w:szCs w:val="24"/>
          <w:rtl/>
        </w:rPr>
        <w:t>ממנו את הנאשם</w:t>
      </w:r>
      <w:r w:rsidR="001F30FF">
        <w:rPr>
          <w:rFonts w:ascii="David" w:hAnsi="David" w:cs="David" w:hint="cs"/>
          <w:b/>
          <w:bCs/>
          <w:color w:val="000000"/>
          <w:sz w:val="24"/>
          <w:szCs w:val="24"/>
          <w:rtl/>
        </w:rPr>
        <w:t>."</w:t>
      </w:r>
    </w:p>
    <w:p w:rsidR="003D7DEE" w:rsidRDefault="003D7DEE" w:rsidP="004A5DF9">
      <w:pPr>
        <w:pStyle w:val="aa"/>
        <w:numPr>
          <w:ilvl w:val="0"/>
          <w:numId w:val="7"/>
        </w:numPr>
        <w:spacing w:before="160" w:line="360" w:lineRule="auto"/>
        <w:ind w:left="357" w:hanging="357"/>
        <w:contextualSpacing w:val="0"/>
        <w:jc w:val="both"/>
        <w:rPr>
          <w:rFonts w:ascii="David" w:hAnsi="David" w:cs="David"/>
          <w:color w:val="000000"/>
          <w:sz w:val="24"/>
          <w:szCs w:val="24"/>
        </w:rPr>
      </w:pPr>
      <w:r>
        <w:rPr>
          <w:rFonts w:ascii="David" w:hAnsi="David" w:cs="David"/>
          <w:color w:val="000000"/>
          <w:sz w:val="24"/>
          <w:szCs w:val="24"/>
          <w:rtl/>
        </w:rPr>
        <w:t xml:space="preserve">והדברים יפים גם לענייננו. על המאשימה מוטלת החובה לדייק את ניסוח כתב האישום ולתאר את העובדות ואת הוראות החיקוק בצורה מפורטת ככל שניתן, על מנת </w:t>
      </w:r>
      <w:r w:rsidR="001F30FF">
        <w:rPr>
          <w:rFonts w:ascii="David" w:hAnsi="David" w:cs="David" w:hint="cs"/>
          <w:color w:val="000000"/>
          <w:sz w:val="24"/>
          <w:szCs w:val="24"/>
          <w:rtl/>
        </w:rPr>
        <w:t xml:space="preserve">שהנאשם לא יהיה </w:t>
      </w:r>
      <w:r w:rsidR="007678BA">
        <w:rPr>
          <w:rFonts w:ascii="David" w:hAnsi="David" w:cs="David" w:hint="cs"/>
          <w:color w:val="000000"/>
          <w:sz w:val="24"/>
          <w:szCs w:val="24"/>
          <w:rtl/>
        </w:rPr>
        <w:t>מ</w:t>
      </w:r>
      <w:r w:rsidR="001F30FF">
        <w:rPr>
          <w:rFonts w:ascii="David" w:hAnsi="David" w:cs="David" w:hint="cs"/>
          <w:color w:val="000000"/>
          <w:sz w:val="24"/>
          <w:szCs w:val="24"/>
          <w:rtl/>
        </w:rPr>
        <w:t xml:space="preserve">ופתע ויוכל להתגונן. גם בתיקים פשוטים מסוג ברירת משפט אין די </w:t>
      </w:r>
      <w:r>
        <w:rPr>
          <w:rFonts w:ascii="David" w:hAnsi="David" w:cs="David"/>
          <w:color w:val="000000"/>
          <w:sz w:val="24"/>
          <w:szCs w:val="24"/>
          <w:rtl/>
        </w:rPr>
        <w:t>בהעתקת פרטי סעיף העבירה כפי שהם מופיעים בדוח</w:t>
      </w:r>
      <w:r w:rsidR="001F30FF">
        <w:rPr>
          <w:rFonts w:ascii="David" w:hAnsi="David" w:cs="David" w:hint="cs"/>
          <w:color w:val="000000"/>
          <w:sz w:val="24"/>
          <w:szCs w:val="24"/>
          <w:rtl/>
        </w:rPr>
        <w:t>,</w:t>
      </w:r>
      <w:r>
        <w:rPr>
          <w:rFonts w:ascii="David" w:hAnsi="David" w:cs="David"/>
          <w:color w:val="000000"/>
          <w:sz w:val="24"/>
          <w:szCs w:val="24"/>
          <w:rtl/>
        </w:rPr>
        <w:t xml:space="preserve"> חלף פירוט עובדתי שיאפשר לנאשם להיערך כראוי. </w:t>
      </w:r>
    </w:p>
    <w:p w:rsidR="003D7DEE" w:rsidRDefault="003D7DEE" w:rsidP="004A5DF9">
      <w:pPr>
        <w:pStyle w:val="aa"/>
        <w:numPr>
          <w:ilvl w:val="0"/>
          <w:numId w:val="7"/>
        </w:numPr>
        <w:spacing w:before="160" w:line="360" w:lineRule="auto"/>
        <w:ind w:left="357" w:hanging="357"/>
        <w:contextualSpacing w:val="0"/>
        <w:jc w:val="both"/>
        <w:rPr>
          <w:rFonts w:ascii="David" w:hAnsi="David" w:cs="David"/>
          <w:color w:val="000000"/>
          <w:sz w:val="24"/>
          <w:szCs w:val="24"/>
        </w:rPr>
      </w:pPr>
      <w:r>
        <w:rPr>
          <w:rFonts w:ascii="David" w:hAnsi="David" w:cs="David"/>
          <w:color w:val="000000"/>
          <w:sz w:val="24"/>
          <w:szCs w:val="24"/>
          <w:rtl/>
        </w:rPr>
        <w:t xml:space="preserve">התפתחות טיעוניה של המאשימה בעניינו של היסוד העובדתי בתיק זה ממחישה, יותר מכל, את החשיבות </w:t>
      </w:r>
      <w:r w:rsidR="001F30FF">
        <w:rPr>
          <w:rFonts w:ascii="David" w:hAnsi="David" w:cs="David" w:hint="cs"/>
          <w:color w:val="000000"/>
          <w:sz w:val="24"/>
          <w:szCs w:val="24"/>
          <w:rtl/>
        </w:rPr>
        <w:t xml:space="preserve">שבפירוט עובדתי מדויק וכן את החשיבות שברישום </w:t>
      </w:r>
      <w:r>
        <w:rPr>
          <w:rFonts w:ascii="David" w:hAnsi="David" w:cs="David"/>
          <w:color w:val="000000"/>
          <w:sz w:val="24"/>
          <w:szCs w:val="24"/>
          <w:rtl/>
        </w:rPr>
        <w:t xml:space="preserve">הערות הפקח ביחס לדוח על מנת שכל הצדדים להליך, בבואם לבחון טענות נאשם בהמשך הדרך או להפעיל ביקורת </w:t>
      </w:r>
      <w:proofErr w:type="spellStart"/>
      <w:r>
        <w:rPr>
          <w:rFonts w:ascii="David" w:hAnsi="David" w:cs="David"/>
          <w:color w:val="000000"/>
          <w:sz w:val="24"/>
          <w:szCs w:val="24"/>
          <w:rtl/>
        </w:rPr>
        <w:t>מינהלית</w:t>
      </w:r>
      <w:proofErr w:type="spellEnd"/>
      <w:r>
        <w:rPr>
          <w:rFonts w:ascii="David" w:hAnsi="David" w:cs="David"/>
          <w:color w:val="000000"/>
          <w:sz w:val="24"/>
          <w:szCs w:val="24"/>
          <w:rtl/>
        </w:rPr>
        <w:t xml:space="preserve"> או שיפוטית על עבודת הפקח – יוכלו לעשות כן כאשר הדברים פרוסים לנגד עיניהם באופן המיטבי ותוך שמירה על הוגנות והגינות ההליך.</w:t>
      </w:r>
    </w:p>
    <w:p w:rsidR="003D7DEE" w:rsidRPr="00316C70" w:rsidRDefault="00F03F13" w:rsidP="009D5AF6">
      <w:pPr>
        <w:pStyle w:val="aa"/>
        <w:numPr>
          <w:ilvl w:val="0"/>
          <w:numId w:val="7"/>
        </w:numPr>
        <w:spacing w:before="160" w:line="360" w:lineRule="auto"/>
        <w:ind w:left="357" w:hanging="357"/>
        <w:contextualSpacing w:val="0"/>
        <w:jc w:val="both"/>
        <w:rPr>
          <w:rFonts w:ascii="David" w:hAnsi="David" w:cs="David"/>
          <w:color w:val="000000"/>
          <w:sz w:val="24"/>
          <w:szCs w:val="24"/>
          <w:u w:val="single"/>
        </w:rPr>
      </w:pPr>
      <w:r w:rsidRPr="00316C70">
        <w:rPr>
          <w:rFonts w:ascii="David" w:hAnsi="David" w:cs="David"/>
          <w:color w:val="000000"/>
          <w:sz w:val="24"/>
          <w:szCs w:val="24"/>
          <w:u w:val="single"/>
          <w:rtl/>
        </w:rPr>
        <w:t>קביעות</w:t>
      </w:r>
      <w:r w:rsidR="006D00F8" w:rsidRPr="00316C70">
        <w:rPr>
          <w:rFonts w:ascii="David" w:hAnsi="David" w:cs="David"/>
          <w:color w:val="000000"/>
          <w:sz w:val="24"/>
          <w:szCs w:val="24"/>
          <w:u w:val="single"/>
          <w:rtl/>
        </w:rPr>
        <w:t xml:space="preserve"> </w:t>
      </w:r>
      <w:r w:rsidRPr="00316C70">
        <w:rPr>
          <w:rFonts w:ascii="David" w:hAnsi="David" w:cs="David"/>
          <w:color w:val="000000"/>
          <w:sz w:val="24"/>
          <w:szCs w:val="24"/>
          <w:u w:val="single"/>
          <w:rtl/>
        </w:rPr>
        <w:t>אלו</w:t>
      </w:r>
      <w:r w:rsidR="00316C70">
        <w:rPr>
          <w:rFonts w:ascii="David" w:hAnsi="David" w:cs="David" w:hint="cs"/>
          <w:color w:val="000000"/>
          <w:sz w:val="24"/>
          <w:szCs w:val="24"/>
          <w:u w:val="single"/>
          <w:rtl/>
        </w:rPr>
        <w:t xml:space="preserve"> </w:t>
      </w:r>
      <w:r w:rsidR="00316C70">
        <w:rPr>
          <w:rFonts w:ascii="David" w:hAnsi="David" w:cs="David"/>
          <w:color w:val="000000"/>
          <w:sz w:val="24"/>
          <w:szCs w:val="24"/>
          <w:u w:val="single"/>
          <w:rtl/>
        </w:rPr>
        <w:t>–</w:t>
      </w:r>
      <w:r w:rsidR="00316C70">
        <w:rPr>
          <w:rFonts w:ascii="David" w:hAnsi="David" w:cs="David" w:hint="cs"/>
          <w:color w:val="000000"/>
          <w:sz w:val="24"/>
          <w:szCs w:val="24"/>
          <w:u w:val="single"/>
          <w:rtl/>
        </w:rPr>
        <w:t xml:space="preserve"> </w:t>
      </w:r>
      <w:r w:rsidRPr="00316C70">
        <w:rPr>
          <w:rFonts w:ascii="David" w:hAnsi="David" w:cs="David"/>
          <w:color w:val="000000"/>
          <w:sz w:val="24"/>
          <w:szCs w:val="24"/>
          <w:u w:val="single"/>
          <w:rtl/>
        </w:rPr>
        <w:t xml:space="preserve">בעניין </w:t>
      </w:r>
      <w:r w:rsidR="006D00F8" w:rsidRPr="00316C70">
        <w:rPr>
          <w:rFonts w:ascii="David" w:hAnsi="David" w:cs="David"/>
          <w:color w:val="000000"/>
          <w:sz w:val="24"/>
          <w:szCs w:val="24"/>
          <w:u w:val="single"/>
          <w:rtl/>
        </w:rPr>
        <w:t xml:space="preserve">העדר </w:t>
      </w:r>
      <w:r w:rsidR="009D5AF6">
        <w:rPr>
          <w:rFonts w:ascii="David" w:hAnsi="David" w:cs="David" w:hint="cs"/>
          <w:color w:val="000000"/>
          <w:sz w:val="24"/>
          <w:szCs w:val="24"/>
          <w:u w:val="single"/>
          <w:rtl/>
        </w:rPr>
        <w:t xml:space="preserve">תיעוד מפורט בדוח לשיקול דעת הפקח ולקיומו של תג נכה, וכן אופן </w:t>
      </w:r>
      <w:r w:rsidR="003D7DEE" w:rsidRPr="00316C70">
        <w:rPr>
          <w:rFonts w:ascii="David" w:hAnsi="David" w:cs="David"/>
          <w:color w:val="000000"/>
          <w:sz w:val="24"/>
          <w:szCs w:val="24"/>
          <w:u w:val="single"/>
          <w:rtl/>
        </w:rPr>
        <w:t>ניסוח כתב האישום וטענות המאשימה בעקבותיו – מצטבר</w:t>
      </w:r>
      <w:r w:rsidR="00316C70">
        <w:rPr>
          <w:rFonts w:ascii="David" w:hAnsi="David" w:cs="David" w:hint="cs"/>
          <w:color w:val="000000"/>
          <w:sz w:val="24"/>
          <w:szCs w:val="24"/>
          <w:u w:val="single"/>
          <w:rtl/>
        </w:rPr>
        <w:t>ות</w:t>
      </w:r>
      <w:r w:rsidR="003D7DEE" w:rsidRPr="00316C70">
        <w:rPr>
          <w:rFonts w:ascii="David" w:hAnsi="David" w:cs="David"/>
          <w:color w:val="000000"/>
          <w:sz w:val="24"/>
          <w:szCs w:val="24"/>
          <w:u w:val="single"/>
          <w:rtl/>
        </w:rPr>
        <w:t xml:space="preserve"> לאמור לעיל ותומכ</w:t>
      </w:r>
      <w:r w:rsidR="00316C70">
        <w:rPr>
          <w:rFonts w:ascii="David" w:hAnsi="David" w:cs="David" w:hint="cs"/>
          <w:color w:val="000000"/>
          <w:sz w:val="24"/>
          <w:szCs w:val="24"/>
          <w:u w:val="single"/>
          <w:rtl/>
        </w:rPr>
        <w:t>ות</w:t>
      </w:r>
      <w:r w:rsidR="003D7DEE" w:rsidRPr="00316C70">
        <w:rPr>
          <w:rFonts w:ascii="David" w:hAnsi="David" w:cs="David"/>
          <w:color w:val="000000"/>
          <w:sz w:val="24"/>
          <w:szCs w:val="24"/>
          <w:u w:val="single"/>
          <w:rtl/>
        </w:rPr>
        <w:t xml:space="preserve"> אף ה</w:t>
      </w:r>
      <w:r w:rsidR="00316C70">
        <w:rPr>
          <w:rFonts w:ascii="David" w:hAnsi="David" w:cs="David" w:hint="cs"/>
          <w:color w:val="000000"/>
          <w:sz w:val="24"/>
          <w:szCs w:val="24"/>
          <w:u w:val="single"/>
          <w:rtl/>
        </w:rPr>
        <w:t>ן</w:t>
      </w:r>
      <w:r w:rsidR="003D7DEE" w:rsidRPr="00316C70">
        <w:rPr>
          <w:rFonts w:ascii="David" w:hAnsi="David" w:cs="David"/>
          <w:color w:val="000000"/>
          <w:sz w:val="24"/>
          <w:szCs w:val="24"/>
          <w:u w:val="single"/>
          <w:rtl/>
        </w:rPr>
        <w:t xml:space="preserve"> בזיכוי הנאשם</w:t>
      </w:r>
      <w:r w:rsidR="003D7DEE" w:rsidRPr="009D5AF6">
        <w:rPr>
          <w:rFonts w:ascii="David" w:hAnsi="David" w:cs="David"/>
          <w:color w:val="000000"/>
          <w:sz w:val="24"/>
          <w:szCs w:val="24"/>
          <w:rtl/>
        </w:rPr>
        <w:t xml:space="preserve">. </w:t>
      </w:r>
    </w:p>
    <w:p w:rsidR="003D7DEE" w:rsidRPr="00316C70" w:rsidRDefault="003D7DEE" w:rsidP="004A5DF9">
      <w:pPr>
        <w:spacing w:before="160" w:line="360" w:lineRule="auto"/>
        <w:jc w:val="both"/>
        <w:rPr>
          <w:rFonts w:ascii="David" w:hAnsi="David"/>
          <w:b/>
          <w:bCs/>
          <w:color w:val="000000"/>
          <w:u w:val="single"/>
          <w:rtl/>
        </w:rPr>
      </w:pPr>
    </w:p>
    <w:p w:rsidR="003D7DEE" w:rsidRDefault="003D7DEE" w:rsidP="004A5DF9">
      <w:pPr>
        <w:spacing w:before="160" w:line="360" w:lineRule="auto"/>
        <w:jc w:val="both"/>
        <w:rPr>
          <w:rFonts w:ascii="David" w:hAnsi="David"/>
          <w:color w:val="000000"/>
          <w:rtl/>
        </w:rPr>
      </w:pPr>
      <w:r>
        <w:rPr>
          <w:rFonts w:ascii="David" w:hAnsi="David"/>
          <w:b/>
          <w:bCs/>
          <w:color w:val="000000"/>
          <w:u w:val="single"/>
          <w:rtl/>
        </w:rPr>
        <w:t xml:space="preserve">חוקיות תמרור המעטפת </w:t>
      </w:r>
    </w:p>
    <w:p w:rsidR="00F03F13" w:rsidRDefault="003D7DEE" w:rsidP="00316C70">
      <w:pPr>
        <w:pStyle w:val="aa"/>
        <w:numPr>
          <w:ilvl w:val="0"/>
          <w:numId w:val="7"/>
        </w:numPr>
        <w:spacing w:before="160" w:line="360" w:lineRule="auto"/>
        <w:ind w:left="357" w:hanging="357"/>
        <w:contextualSpacing w:val="0"/>
        <w:jc w:val="both"/>
        <w:rPr>
          <w:rFonts w:ascii="David" w:hAnsi="David" w:cs="David"/>
          <w:color w:val="000000"/>
          <w:sz w:val="24"/>
          <w:szCs w:val="24"/>
        </w:rPr>
      </w:pPr>
      <w:r w:rsidRPr="00316C70">
        <w:rPr>
          <w:rFonts w:ascii="David" w:hAnsi="David" w:cs="David"/>
          <w:color w:val="000000"/>
          <w:sz w:val="24"/>
          <w:szCs w:val="24"/>
          <w:rtl/>
        </w:rPr>
        <w:t xml:space="preserve">המאשימה הגישה תעודת עובד ציבור חתומה על ידי מר צחי בן </w:t>
      </w:r>
      <w:proofErr w:type="spellStart"/>
      <w:r w:rsidRPr="00316C70">
        <w:rPr>
          <w:rFonts w:ascii="David" w:hAnsi="David" w:cs="David"/>
          <w:color w:val="000000"/>
          <w:sz w:val="24"/>
          <w:szCs w:val="24"/>
          <w:rtl/>
        </w:rPr>
        <w:t>גיגי</w:t>
      </w:r>
      <w:proofErr w:type="spellEnd"/>
      <w:r w:rsidRPr="00316C70">
        <w:rPr>
          <w:rFonts w:ascii="David" w:hAnsi="David" w:cs="David"/>
          <w:color w:val="000000"/>
          <w:sz w:val="24"/>
          <w:szCs w:val="24"/>
          <w:rtl/>
        </w:rPr>
        <w:t xml:space="preserve">, </w:t>
      </w:r>
      <w:r w:rsidR="00316C70" w:rsidRPr="00316C70">
        <w:rPr>
          <w:rFonts w:ascii="David" w:hAnsi="David" w:cs="David"/>
          <w:sz w:val="24"/>
          <w:szCs w:val="24"/>
          <w:rtl/>
        </w:rPr>
        <w:t>מנהל המטה העירוני לבטיחות בדרכים</w:t>
      </w:r>
      <w:r w:rsidR="00316C70" w:rsidRPr="00316C70">
        <w:rPr>
          <w:rFonts w:ascii="David" w:hAnsi="David" w:cs="David"/>
          <w:color w:val="000000"/>
          <w:sz w:val="24"/>
          <w:szCs w:val="24"/>
          <w:rtl/>
        </w:rPr>
        <w:t xml:space="preserve"> </w:t>
      </w:r>
      <w:r>
        <w:rPr>
          <w:rFonts w:ascii="David" w:hAnsi="David" w:cs="David"/>
          <w:color w:val="000000"/>
          <w:sz w:val="24"/>
          <w:szCs w:val="24"/>
          <w:rtl/>
        </w:rPr>
        <w:t>בעיריית בת ים (</w:t>
      </w:r>
      <w:r>
        <w:rPr>
          <w:rFonts w:ascii="David" w:hAnsi="David" w:cs="David"/>
          <w:b/>
          <w:bCs/>
          <w:color w:val="000000"/>
          <w:sz w:val="24"/>
          <w:szCs w:val="24"/>
          <w:rtl/>
        </w:rPr>
        <w:t>ת/5</w:t>
      </w:r>
      <w:r>
        <w:rPr>
          <w:rFonts w:ascii="David" w:hAnsi="David" w:cs="David"/>
          <w:color w:val="000000"/>
          <w:sz w:val="24"/>
          <w:szCs w:val="24"/>
          <w:rtl/>
        </w:rPr>
        <w:t xml:space="preserve">) לפיה המעטפה (תמרור 820) אושרה בוועדת תנועה מקומית מס' 02/22 שהתקיימה ביום 15.03.2022. לתעודה צורפה החלטת הוועדה. הנאשם הפנה לכך </w:t>
      </w:r>
      <w:r w:rsidR="00F03F13">
        <w:rPr>
          <w:rFonts w:ascii="David" w:hAnsi="David" w:cs="David" w:hint="cs"/>
          <w:color w:val="000000"/>
          <w:sz w:val="24"/>
          <w:szCs w:val="24"/>
          <w:rtl/>
        </w:rPr>
        <w:t xml:space="preserve">שלא צורפה לתעודת עובד הציבור התכנית אליה מפנה ההחלטה. עוד הפנה הנאשם </w:t>
      </w:r>
      <w:r>
        <w:rPr>
          <w:rFonts w:ascii="David" w:hAnsi="David" w:cs="David"/>
          <w:color w:val="000000"/>
          <w:sz w:val="24"/>
          <w:szCs w:val="24"/>
          <w:rtl/>
        </w:rPr>
        <w:t>לכך שקיימת התייחסות מהותית תחת העמודה "ביטול / מחיקה" של תמרור וכי בהעדר התכנית, לא ניתן ללמוד האם בהחלטה זו אושרה, במקביל להוספת תמרור מעטפה, גם הסרת תמרור שכזה. הנאשם מוסיף ומציין כי במקום קיימת מעטפה נוספת וכי המעטפה בה נרשם הדוח,  בשטח 28 מ"ר, אינה עומדת בתקן וכי בהעדר התכנית לא ניתן לדעת מה המעטפה שאושרה</w:t>
      </w:r>
      <w:r w:rsidR="00F03F13">
        <w:rPr>
          <w:rFonts w:ascii="David" w:hAnsi="David" w:cs="David" w:hint="cs"/>
          <w:color w:val="000000"/>
          <w:sz w:val="24"/>
          <w:szCs w:val="24"/>
          <w:rtl/>
        </w:rPr>
        <w:t xml:space="preserve"> וכי קיים ספק באשר לתקינות התמרור. </w:t>
      </w:r>
    </w:p>
    <w:p w:rsidR="003D7DEE" w:rsidRDefault="003D7DEE" w:rsidP="006D00F8">
      <w:pPr>
        <w:pStyle w:val="aa"/>
        <w:numPr>
          <w:ilvl w:val="0"/>
          <w:numId w:val="7"/>
        </w:numPr>
        <w:spacing w:before="160" w:line="360" w:lineRule="auto"/>
        <w:ind w:left="357" w:hanging="357"/>
        <w:contextualSpacing w:val="0"/>
        <w:jc w:val="both"/>
        <w:rPr>
          <w:rFonts w:ascii="David" w:hAnsi="David" w:cs="David"/>
          <w:color w:val="000000"/>
          <w:sz w:val="24"/>
          <w:szCs w:val="24"/>
        </w:rPr>
      </w:pPr>
      <w:r>
        <w:rPr>
          <w:rFonts w:ascii="David" w:hAnsi="David" w:cs="David"/>
          <w:color w:val="000000"/>
          <w:sz w:val="24"/>
          <w:szCs w:val="24"/>
          <w:rtl/>
        </w:rPr>
        <w:t>לאור התוצאה אליה הגעתי לעיל, מתייתר למעשה הצורך להכריע בטענות הצדדים באשר לחוקיות סימון המעטפת על המדרכה באותו מקום ו</w:t>
      </w:r>
      <w:r w:rsidR="006D00F8">
        <w:rPr>
          <w:rFonts w:ascii="David" w:hAnsi="David" w:cs="David" w:hint="cs"/>
          <w:color w:val="000000"/>
          <w:sz w:val="24"/>
          <w:szCs w:val="24"/>
          <w:rtl/>
        </w:rPr>
        <w:t>ב</w:t>
      </w:r>
      <w:r>
        <w:rPr>
          <w:rFonts w:ascii="David" w:hAnsi="David" w:cs="David"/>
          <w:color w:val="000000"/>
          <w:sz w:val="24"/>
          <w:szCs w:val="24"/>
          <w:rtl/>
        </w:rPr>
        <w:t xml:space="preserve">שאלה </w:t>
      </w:r>
      <w:r w:rsidR="006D00F8">
        <w:rPr>
          <w:rFonts w:ascii="David" w:hAnsi="David" w:cs="David" w:hint="cs"/>
          <w:color w:val="000000"/>
          <w:sz w:val="24"/>
          <w:szCs w:val="24"/>
          <w:rtl/>
        </w:rPr>
        <w:t xml:space="preserve">המקדמית </w:t>
      </w:r>
      <w:r>
        <w:rPr>
          <w:rFonts w:ascii="David" w:hAnsi="David" w:cs="David"/>
          <w:color w:val="000000"/>
          <w:sz w:val="24"/>
          <w:szCs w:val="24"/>
          <w:rtl/>
        </w:rPr>
        <w:t xml:space="preserve">האם ההליך שלפניי הוא ההליך הנכון להעלות טענות באשר לתוקף התמרור וחוקיות התקנתו. </w:t>
      </w:r>
    </w:p>
    <w:p w:rsidR="003D7DEE" w:rsidRDefault="003D7DEE" w:rsidP="004A5DF9">
      <w:pPr>
        <w:spacing w:before="160" w:line="360" w:lineRule="auto"/>
        <w:jc w:val="both"/>
        <w:rPr>
          <w:rFonts w:ascii="David" w:hAnsi="David"/>
          <w:color w:val="000000"/>
          <w:rtl/>
        </w:rPr>
      </w:pPr>
      <w:r>
        <w:rPr>
          <w:rFonts w:ascii="David" w:hAnsi="David"/>
          <w:color w:val="000000"/>
          <w:rtl/>
        </w:rPr>
        <w:t xml:space="preserve">טענות נוספות של הצדדים אליהן לא התייחסתי, לא נדרשו להכרעה. </w:t>
      </w:r>
    </w:p>
    <w:p w:rsidR="003D7DEE" w:rsidRDefault="003D7DEE" w:rsidP="004A5DF9">
      <w:pPr>
        <w:spacing w:before="160" w:line="360" w:lineRule="auto"/>
        <w:jc w:val="both"/>
        <w:rPr>
          <w:rFonts w:ascii="David" w:hAnsi="David"/>
          <w:b/>
          <w:bCs/>
          <w:color w:val="000000"/>
          <w:rtl/>
        </w:rPr>
      </w:pPr>
      <w:r>
        <w:rPr>
          <w:rFonts w:ascii="David" w:hAnsi="David"/>
          <w:b/>
          <w:bCs/>
          <w:color w:val="000000"/>
          <w:rtl/>
        </w:rPr>
        <w:t>לאור כלל האמור לעיל, אני מורה על זיכוי הנאשם מהעבירה שיוחסה לו בכתב האישום.</w:t>
      </w:r>
    </w:p>
    <w:p w:rsidR="00F03F13" w:rsidRDefault="00F03F13" w:rsidP="004A5DF9">
      <w:pPr>
        <w:spacing w:before="160" w:line="360" w:lineRule="auto"/>
        <w:jc w:val="both"/>
        <w:rPr>
          <w:rFonts w:ascii="David" w:hAnsi="David"/>
          <w:b/>
          <w:bCs/>
          <w:color w:val="000000"/>
          <w:rtl/>
        </w:rPr>
      </w:pPr>
      <w:r>
        <w:rPr>
          <w:rFonts w:ascii="David" w:hAnsi="David" w:hint="cs"/>
          <w:b/>
          <w:bCs/>
          <w:color w:val="000000"/>
          <w:rtl/>
        </w:rPr>
        <w:t>זכות ערעור כדין.</w:t>
      </w:r>
    </w:p>
    <w:p w:rsidR="003D7DEE" w:rsidRPr="00F03F13" w:rsidRDefault="003D7DEE" w:rsidP="004A5DF9">
      <w:pPr>
        <w:spacing w:before="160"/>
        <w:rPr>
          <w:rFonts w:ascii="David" w:hAnsi="David"/>
          <w:color w:val="000000"/>
        </w:rPr>
      </w:pPr>
      <w:r w:rsidRPr="00F03F13">
        <w:rPr>
          <w:rFonts w:ascii="David" w:hAnsi="David"/>
          <w:color w:val="000000"/>
          <w:u w:val="single"/>
          <w:rtl/>
        </w:rPr>
        <w:t>המזכירות</w:t>
      </w:r>
      <w:r w:rsidRPr="00F03F13">
        <w:rPr>
          <w:rFonts w:ascii="David" w:hAnsi="David"/>
          <w:color w:val="000000"/>
          <w:rtl/>
        </w:rPr>
        <w:t xml:space="preserve"> תסרוק את המוצגים לתיק האלקטרוני ותעביר את פסק הדין לצדדים. </w:t>
      </w:r>
    </w:p>
    <w:p w:rsidR="00870F64" w:rsidRPr="00587C90" w:rsidRDefault="00870F64" w:rsidP="004A5DF9">
      <w:pPr>
        <w:rPr>
          <w:rFonts w:ascii="David" w:hAnsi="David"/>
          <w:sz w:val="26"/>
          <w:szCs w:val="26"/>
          <w:rtl/>
        </w:rPr>
      </w:pPr>
    </w:p>
    <w:p w:rsidR="00870F64" w:rsidRPr="00B949CB" w:rsidRDefault="0051562C" w:rsidP="004A5DF9">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ב' תמוז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08 יולי 2024</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1651255506"/>
        </w:sdtPr>
        <w:sdtEndPr/>
        <w:sdtContent>
          <w:r w:rsidR="00D72891">
            <w:rPr>
              <w:noProof/>
            </w:rPr>
            <w:drawing>
              <wp:inline distT="0" distB="0" distL="0" distR="0" wp14:editId="50D07946">
                <wp:extent cx="174307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43075" cy="714375"/>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1AC" w:rsidRDefault="004B01AC">
      <w:r>
        <w:separator/>
      </w:r>
    </w:p>
  </w:endnote>
  <w:endnote w:type="continuationSeparator" w:id="0">
    <w:p w:rsidR="004B01AC" w:rsidRDefault="004B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EE" w:rsidRDefault="003D7D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9D70A2">
      <w:rPr>
        <w:noProof/>
        <w:rtl/>
      </w:rPr>
      <w:t>8</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9D70A2">
      <w:rPr>
        <w:noProof/>
        <w:rtl/>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EE" w:rsidRDefault="003D7D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1AC" w:rsidRDefault="004B01AC">
      <w:r>
        <w:separator/>
      </w:r>
    </w:p>
  </w:footnote>
  <w:footnote w:type="continuationSeparator" w:id="0">
    <w:p w:rsidR="004B01AC" w:rsidRDefault="004B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EE" w:rsidRDefault="003D7D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לעניינים מקומיים בבת 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4B01AC">
          <w:pPr>
            <w:rPr>
              <w:rFonts w:cs="FrankRuehl"/>
              <w:sz w:val="28"/>
              <w:szCs w:val="28"/>
              <w:rtl/>
            </w:rPr>
          </w:pPr>
          <w:sdt>
            <w:sdtPr>
              <w:rPr>
                <w:rtl/>
              </w:rPr>
              <w:alias w:val="1170"/>
              <w:tag w:val="1170"/>
              <w:id w:val="873580151"/>
              <w:text w:multiLine="1"/>
            </w:sdtPr>
            <w:sdtEndPr/>
            <w:sdtContent>
              <w:r w:rsidR="00843239">
                <w:rPr>
                  <w:rFonts w:cs="FrankRuehl"/>
                  <w:sz w:val="28"/>
                  <w:szCs w:val="28"/>
                  <w:rtl/>
                </w:rPr>
                <w:t>ח"נ</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1581-01-24</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דורו רוזן</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EE" w:rsidRDefault="003D7D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A54B65"/>
    <w:multiLevelType w:val="hybridMultilevel"/>
    <w:tmpl w:val="B352F302"/>
    <w:lvl w:ilvl="0" w:tplc="CA34AC8E">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0"/>
  </w:num>
  <w:num w:numId="5">
    <w:abstractNumId w:val="3"/>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714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71443&amp;lt;/CaseID&amp;gt;_x000d__x000a_        &amp;lt;CaseMonth&amp;gt;1&amp;lt;/CaseMonth&amp;gt;_x000d__x000a_        &amp;lt;CaseYear&amp;gt;2024&amp;lt;/CaseYear&amp;gt;_x000d__x000a_        &amp;lt;CaseNumber&amp;gt;1581&amp;lt;/CaseNumber&amp;gt;_x000d__x000a_        &amp;lt;NumeratorGroupID&amp;gt;1&amp;lt;/NumeratorGroupID&amp;gt;_x000d__x000a_        &amp;lt;CaseName&amp;gt;מדינת ישראל נ&amp;#39; דורו רוזן&amp;lt;/CaseName&amp;gt;_x000d__x000a_        &amp;lt;CourtID&amp;gt;220&amp;lt;/CourtID&amp;gt;_x000d__x000a_        &amp;lt;CaseTypeID&amp;gt;10062&amp;lt;/CaseTypeID&amp;gt;_x000d__x000a_        &amp;lt;CaseJudgeName&amp;gt;כריסטינה חילו-אסעד&amp;lt;/CaseJudgeName&amp;gt;_x000d__x000a_        &amp;lt;ProcedureID&amp;gt;2&amp;lt;/ProcedureID&amp;gt;_x000d__x000a_        &amp;lt;CaseStatusID&amp;gt;1&amp;lt;/CaseStatusID&amp;gt;_x000d__x000a_        &amp;lt;ProceedingID&amp;gt;10&amp;lt;/ProceedingID&amp;gt;_x000d__x000a_        &amp;lt;IsCaseLinked&amp;gt;false&amp;lt;/IsCaseLinked&amp;gt;_x000d__x000a_        &amp;lt;PrivilegeID&amp;gt;1&amp;lt;/PrivilegeID&amp;gt;_x000d__x000a_        &amp;lt;IsAppealingCaseExist&amp;gt;false&amp;lt;/IsAppealingCaseExist&amp;gt;_x000d__x000a_        &amp;lt;CaseDisplayIdentifier&amp;gt;1581-01-24&amp;lt;/CaseDisplayIdentifier&amp;gt;_x000d__x000a_        &amp;lt;CaseTypeDesc&amp;gt;ח&amp;quot;נ&amp;lt;/CaseTypeDesc&amp;gt;_x000d__x000a_        &amp;lt;CourtDesc&amp;gt;עניינים מקומיים בת 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02T12:00:00+03:00&amp;lt;/CasePreviousSessionDate&amp;gt;_x000d__x000a_        &amp;lt;CaseNextDeterminingTask&amp;gt;152&amp;lt;/CaseNextDeterminingTask&amp;gt;_x000d__x000a_        &amp;lt;TemporaryAidStatus /&amp;gt;_x000d__x000a_        &amp;lt;CaseOpenDate&amp;gt;2024-01-01T11:00:00+02:00&amp;lt;/CaseOpenDate&amp;gt;_x000d__x000a_        &amp;lt;PleaTypeID&amp;gt;8&amp;lt;/PleaTypeID&amp;gt;_x000d__x000a_        &amp;lt;CourtLevelID&amp;gt;6&amp;lt;/CourtLevelID&amp;gt;_x000d__x000a_        &amp;lt;CourtLevelCaseTypeInterestID&amp;gt;701&amp;lt;/CourtLevelCaseTypeInterestID&amp;gt;_x000d__x000a_        &amp;lt;CaseJudgeFirstName&amp;gt;כריסטינה&amp;lt;/CaseJudgeFirstName&amp;gt;_x000d__x000a_        &amp;lt;CaseJudgeLastName&amp;gt;חילו-אסעד&amp;lt;/CaseJudgeLastName&amp;gt;_x000d__x000a_        &amp;lt;JudicalPersonID&amp;gt;036048072@GOV.IL&amp;lt;/JudicalPersonID&amp;gt;_x000d__x000a_        &amp;lt;IsJudicalPanel&amp;gt;false&amp;lt;/IsJudicalPanel&amp;gt;_x000d__x000a_        &amp;lt;CourtDisplayName&amp;gt;בית משפט לעניינים מקומיים בבת ים&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71443&amp;lt;/CaseID&amp;gt;_x000d__x000a_        &amp;lt;CaseMonth&amp;gt;1&amp;lt;/CaseMonth&amp;gt;_x000d__x000a_        &amp;lt;CaseYear&amp;gt;2024&amp;lt;/CaseYear&amp;gt;_x000d__x000a_        &amp;lt;CaseNumber&amp;gt;1581&amp;lt;/CaseNumber&amp;gt;_x000d__x000a_        &amp;lt;NumeratorGroupID&amp;gt;1&amp;lt;/NumeratorGroupID&amp;gt;_x000d__x000a_        &amp;lt;CaseName&amp;gt;מדינת ישראל נ&amp;#39; דורו רוזן&amp;lt;/CaseName&amp;gt;_x000d__x000a_        &amp;lt;CourtID&amp;gt;220&amp;lt;/CourtID&amp;gt;_x000d__x000a_        &amp;lt;CaseTypeID&amp;gt;10062&amp;lt;/CaseTypeID&amp;gt;_x000d__x000a_        &amp;lt;CaseJudgeName&amp;gt;כריסטינה חילו-אסעד&amp;lt;/CaseJudgeName&amp;gt;_x000d__x000a_        &amp;lt;ProcedureID&amp;gt;2&amp;lt;/ProcedureID&amp;gt;_x000d__x000a_        &amp;lt;CaseStatusID&amp;gt;1&amp;lt;/CaseStatusID&amp;gt;_x000d__x000a_        &amp;lt;ProceedingID&amp;gt;10&amp;lt;/ProceedingID&amp;gt;_x000d__x000a_        &amp;lt;IsCaseLinked&amp;gt;false&amp;lt;/IsCaseLinked&amp;gt;_x000d__x000a_        &amp;lt;PrivilegeID&amp;gt;1&amp;lt;/PrivilegeID&amp;gt;_x000d__x000a_        &amp;lt;IsAppealingCaseExist&amp;gt;false&amp;lt;/IsAppealingCaseExist&amp;gt;_x000d__x000a_        &amp;lt;CaseDisplayIdentifier&amp;gt;1581-01-24&amp;lt;/CaseDisplayIdentifier&amp;gt;_x000d__x000a_        &amp;lt;CaseTypeDesc&amp;gt;ח&amp;quot;נ&amp;lt;/CaseTypeDesc&amp;gt;_x000d__x000a_        &amp;lt;CourtDesc&amp;gt;עניינים מקומיים בת ים&amp;lt;/CourtDesc&amp;gt;_x000d__x000a_        &amp;lt;CaseStageDesc&amp;gt;תיק אלקטרוני&amp;lt;/CaseStageDesc&amp;gt;_x000d__x000a_        &amp;lt;CaseNextDeterminingTask&amp;gt;152&amp;lt;/CaseNextDeterminingTask&amp;gt;_x000d__x000a_        &amp;lt;CaseOpenDate&amp;gt;2024-01-01T11:00:00+02:00&amp;lt;/CaseOpenDate&amp;gt;_x000d__x000a_        &amp;lt;PleaTypeID&amp;gt;8&amp;lt;/PleaTypeID&amp;gt;_x000d__x000a_        &amp;lt;CourtLevelID&amp;gt;6&amp;lt;/CourtLevelID&amp;gt;_x000d__x000a_        &amp;lt;CourtLevelCaseTypeInterestID&amp;gt;701&amp;lt;/CourtLevelCaseTypeInterestID&amp;gt;_x000d__x000a_        &amp;lt;CaseJudgeFirstName&amp;gt;כריסטינה&amp;lt;/CaseJudgeFirstName&amp;gt;_x000d__x000a_        &amp;lt;CaseJudgeLastName&amp;gt;חילו-אסעד&amp;lt;/CaseJudgeLastName&amp;gt;_x000d__x000a_        &amp;lt;JudicalPersonID&amp;gt;036048072@GOV.IL&amp;lt;/JudicalPersonID&amp;gt;_x000d__x000a_        &amp;lt;IsJudicalPanel&amp;gt;false&amp;lt;/IsJudicalPanel&amp;gt;_x000d__x000a_        &amp;lt;CourtDisplayName&amp;gt;בית משפט לעניינים מקומיים בבת 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8T14:19:29.8422923+03:00&amp;lt;/DecisionStatusChangeDate&amp;gt;_x000d__x000a_        &amp;lt;DecisionSignatureDate&amp;gt;2024-07-08T14:19:29.8422923+03:00&amp;lt;/DecisionSignatureDate&amp;gt;_x000d__x000a_        &amp;lt;DecisionSignatureUserID&amp;gt;036048072@GOV.IL&amp;lt;/DecisionSignatureUserID&amp;gt;_x000d__x000a_        &amp;lt;DecisionCreateDate&amp;gt;2024-07-08T14:19:29.8422923+03:00&amp;lt;/DecisionCreateDate&amp;gt;_x000d__x000a_        &amp;lt;DecisionChangeDate&amp;gt;2024-07-08T14:19:29.8422923+03:00&amp;lt;/DecisionChangeDate&amp;gt;_x000d__x000a_        &amp;lt;DecisionChangeUserID&amp;gt;0360480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480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4807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87144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62"/>
    <w:docVar w:name="NGCS.TemplateCategoryID" w:val="80"/>
    <w:docVar w:name="NGCS.TemplateCourtID" w:val="220"/>
    <w:docVar w:name="NGCS.TemplateProceedingID" w:val="10"/>
    <w:docVar w:name="SelectedDocumentID" w:val="430105901"/>
    <w:docVar w:name="WordClientAssemblyName" w:val="NGCS.Decision.ClientWordBL"/>
    <w:docVar w:name="WordClientClassName" w:val="NGCS.Decision.ClientWordBL.DecisionClient"/>
  </w:docVars>
  <w:rsids>
    <w:rsidRoot w:val="00870F64"/>
    <w:rsid w:val="00097BFF"/>
    <w:rsid w:val="000D676C"/>
    <w:rsid w:val="000E5776"/>
    <w:rsid w:val="00113B00"/>
    <w:rsid w:val="0016006A"/>
    <w:rsid w:val="00186BCB"/>
    <w:rsid w:val="001F30FF"/>
    <w:rsid w:val="002039F6"/>
    <w:rsid w:val="0020644E"/>
    <w:rsid w:val="00272EF8"/>
    <w:rsid w:val="0028088A"/>
    <w:rsid w:val="002D68F5"/>
    <w:rsid w:val="00305BA5"/>
    <w:rsid w:val="00316C70"/>
    <w:rsid w:val="0032294B"/>
    <w:rsid w:val="00334A35"/>
    <w:rsid w:val="00337463"/>
    <w:rsid w:val="0034390C"/>
    <w:rsid w:val="003A027F"/>
    <w:rsid w:val="003C74D6"/>
    <w:rsid w:val="003D7DEE"/>
    <w:rsid w:val="004334DF"/>
    <w:rsid w:val="00443C67"/>
    <w:rsid w:val="00453217"/>
    <w:rsid w:val="00456A55"/>
    <w:rsid w:val="00457163"/>
    <w:rsid w:val="004A5DF9"/>
    <w:rsid w:val="004B01AC"/>
    <w:rsid w:val="004F2B64"/>
    <w:rsid w:val="0051562C"/>
    <w:rsid w:val="0052227C"/>
    <w:rsid w:val="00587C90"/>
    <w:rsid w:val="005C3A98"/>
    <w:rsid w:val="006002EC"/>
    <w:rsid w:val="0064690D"/>
    <w:rsid w:val="006958A7"/>
    <w:rsid w:val="006B49BC"/>
    <w:rsid w:val="006D00F8"/>
    <w:rsid w:val="006F0E62"/>
    <w:rsid w:val="006F6206"/>
    <w:rsid w:val="007678BA"/>
    <w:rsid w:val="007B34BE"/>
    <w:rsid w:val="007B5028"/>
    <w:rsid w:val="007C1799"/>
    <w:rsid w:val="007C40F8"/>
    <w:rsid w:val="007C7991"/>
    <w:rsid w:val="007F2E63"/>
    <w:rsid w:val="00810372"/>
    <w:rsid w:val="00834D17"/>
    <w:rsid w:val="00843239"/>
    <w:rsid w:val="00870F64"/>
    <w:rsid w:val="00892B53"/>
    <w:rsid w:val="008D35B7"/>
    <w:rsid w:val="008D38B7"/>
    <w:rsid w:val="00906D9D"/>
    <w:rsid w:val="009074A1"/>
    <w:rsid w:val="009251A2"/>
    <w:rsid w:val="00942F8C"/>
    <w:rsid w:val="009A5245"/>
    <w:rsid w:val="009D5AF6"/>
    <w:rsid w:val="009D70A2"/>
    <w:rsid w:val="00A04A89"/>
    <w:rsid w:val="00A27B94"/>
    <w:rsid w:val="00A5454F"/>
    <w:rsid w:val="00AE60C8"/>
    <w:rsid w:val="00B20868"/>
    <w:rsid w:val="00B75B01"/>
    <w:rsid w:val="00B949CB"/>
    <w:rsid w:val="00BF0FEA"/>
    <w:rsid w:val="00C12D2C"/>
    <w:rsid w:val="00C46333"/>
    <w:rsid w:val="00C51B8C"/>
    <w:rsid w:val="00C842D3"/>
    <w:rsid w:val="00C863A8"/>
    <w:rsid w:val="00CC3C76"/>
    <w:rsid w:val="00D20FA3"/>
    <w:rsid w:val="00D63841"/>
    <w:rsid w:val="00D72891"/>
    <w:rsid w:val="00DC081D"/>
    <w:rsid w:val="00E00A0E"/>
    <w:rsid w:val="00E20138"/>
    <w:rsid w:val="00E24780"/>
    <w:rsid w:val="00E92233"/>
    <w:rsid w:val="00EA352A"/>
    <w:rsid w:val="00EB19E0"/>
    <w:rsid w:val="00EC5582"/>
    <w:rsid w:val="00EE1AFA"/>
    <w:rsid w:val="00F03F13"/>
    <w:rsid w:val="00F26885"/>
    <w:rsid w:val="00F4577C"/>
    <w:rsid w:val="00F470DB"/>
    <w:rsid w:val="00F61193"/>
    <w:rsid w:val="00F718AF"/>
    <w:rsid w:val="00FC2DC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3D7DEE"/>
    <w:pPr>
      <w:spacing w:after="160" w:line="252" w:lineRule="auto"/>
      <w:ind w:left="720"/>
      <w:contextualSpacing/>
    </w:pPr>
    <w:rPr>
      <w:rFonts w:asciiTheme="minorHAnsi" w:eastAsiaTheme="minorHAnsi" w:hAnsiTheme="minorHAnsi" w:cstheme="minorBidi"/>
      <w:sz w:val="22"/>
      <w:szCs w:val="22"/>
    </w:rPr>
  </w:style>
  <w:style w:type="paragraph" w:customStyle="1" w:styleId="P22">
    <w:name w:val="P22"/>
    <w:basedOn w:val="a"/>
    <w:rsid w:val="003D7DEE"/>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ascii="Times New Roman" w:hAnsi="Times New Roman" w:cs="FrankRuehl"/>
      <w:noProof/>
      <w:sz w:val="20"/>
      <w:szCs w:val="26"/>
      <w:lang w:eastAsia="he-IL"/>
    </w:rPr>
  </w:style>
  <w:style w:type="character" w:customStyle="1" w:styleId="default">
    <w:name w:val="default"/>
    <w:rsid w:val="003D7DEE"/>
    <w:rPr>
      <w:rFonts w:ascii="Times New Roman" w:hAnsi="Times New Roman" w:cs="Times New Roman" w:hint="default"/>
      <w:sz w:val="20"/>
      <w:szCs w:val="26"/>
    </w:rPr>
  </w:style>
  <w:style w:type="paragraph" w:customStyle="1" w:styleId="big-header">
    <w:name w:val="big-header"/>
    <w:basedOn w:val="a"/>
    <w:rsid w:val="006002EC"/>
    <w:pPr>
      <w:bidi w:val="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290093101">
      <w:bodyDiv w:val="1"/>
      <w:marLeft w:val="0"/>
      <w:marRight w:val="0"/>
      <w:marTop w:val="0"/>
      <w:marBottom w:val="0"/>
      <w:divBdr>
        <w:top w:val="none" w:sz="0" w:space="0" w:color="auto"/>
        <w:left w:val="none" w:sz="0" w:space="0" w:color="auto"/>
        <w:bottom w:val="none" w:sz="0" w:space="0" w:color="auto"/>
        <w:right w:val="none" w:sz="0" w:space="0" w:color="auto"/>
      </w:divBdr>
    </w:div>
    <w:div w:id="966279900">
      <w:bodyDiv w:val="1"/>
      <w:marLeft w:val="0"/>
      <w:marRight w:val="0"/>
      <w:marTop w:val="0"/>
      <w:marBottom w:val="0"/>
      <w:divBdr>
        <w:top w:val="none" w:sz="0" w:space="0" w:color="auto"/>
        <w:left w:val="none" w:sz="0" w:space="0" w:color="auto"/>
        <w:bottom w:val="none" w:sz="0" w:space="0" w:color="auto"/>
        <w:right w:val="none" w:sz="0" w:space="0" w:color="auto"/>
      </w:divBdr>
    </w:div>
    <w:div w:id="1089544720">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D31B19" w:rsidP="00D31B19">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845549"/>
    <w:rsid w:val="00AC6BCB"/>
    <w:rsid w:val="00B33786"/>
    <w:rsid w:val="00C97C5C"/>
    <w:rsid w:val="00D31B19"/>
    <w:rsid w:val="00D60258"/>
    <w:rsid w:val="00DE0160"/>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B19"/>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D31B19"/>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בני מזיג</FullName>
        <FirstName>בני</FirstName>
        <LastName>מזיג</LastName>
        <PartyPropertyName/>
        <AuthenticationTypeAndNumber>ת"ז </AuthenticationTypeAndNumber>
        <RepresentatedOrRepresentativesNames/>
        <RepresentatedOrRepresentativesCount>0</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265417282</CasePartyID>
        <PartyTypeID>4</PartyTypeID>
        <ActivityStatusID>1</ActivityStatusID>
        <PartyAliasID>101</PartyAliasID>
        <PartyAliasName>עד בית משפט</PartyAliasName>
        <LegalEntityID>81691852</LegalEntityID>
        <CaseLegalEntityID>127495273</CaseLegalEntityID>
        <AuthenticationTypeID>1</AuthenticationTypeID>
        <AuthenticationTypeName>ת"ז</AuthenticationTypeName>
        <IsMainPartyType>true</IsMainPartyType>
        <CaseDisplayIdentifier>1581-01-24</CaseDisplayIdentifier>
        <CaseTypeID>10062</CaseTypeID>
        <CaseTypeName>חנייה (ח"נ)</CaseTypeName>
        <CaseName>מדינת ישראל נ' דורו רוזן</CaseName>
        <FullAddress>חשמונאים 27 בת ים </FullAddress>
        <MotionID>0</MotionID>
        <CasePleaID>0</CasePleaID>
        <LinkedCaseID>0</LinkedCaseID>
        <CasePartyCategoryID>1</CasePartyCategoryID>
        <LegalEntityAddressID>88875528</LegalEntityAddressID>
        <PleaTypeID>8</PleaTypeID>
        <GroupPartyAlias/>
        <IsConverted>false</IsConverted>
        <LegalEntityNameID>96047805</LegalEntityNameID>
        <RepresentatedNamesOfAssistant/>
        <LegalEntityTypeID>1</LegalEntityTypeID>
        <IsVerdictExists>false</IsVerdictExists>
        <IsAsirAzir>false</IsAsirAzir>
        <MainAndSecSpec/>
        <IsPublicationProhibited>false</IsPublicationProhibited>
        <PublicationProhibitedFullName>בני מזיג</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קורינה מץ</RepresentatedOrRepresentativesNames>
        <RepresentatedOrRepresentativesCount>1</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264377513</CasePartyID>
        <PartyTypeID>1</PartyTypeID>
        <ActivityStatusID>1</ActivityStatusID>
        <PartyAliasID>11</PartyAliasID>
        <PartyAliasName>מאשימה</PartyAliasName>
        <OrdinalNumber>1</OrdinalNumber>
        <LegalEntityID>4</LegalEntityID>
        <CaseLegalEntityID>127188088</CaseLegalEntityID>
        <AuthenticationTypeID>41</AuthenticationTypeID>
        <AuthenticationTypeName>מדינת ישראל </AuthenticationTypeName>
        <LegalEntityNumber/>
        <IsMainPartyType>true</IsMainPartyType>
        <CaseDisplayIdentifier>1581-01-24</CaseDisplayIdentifier>
        <CaseTypeID>10062</CaseTypeID>
        <CaseTypeName>חנייה (ח"נ)</CaseTypeName>
        <CaseName>מדינת ישראל נ' דורו רוזן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קורינה מץ</FullName>
        <FirstName>קורינה</FirstName>
        <LastName>מץ</LastName>
        <PartyPropertyName/>
        <AuthenticationTypeAndNumber>מ.ר. 15128</AuthenticationTypeAndNumber>
        <RepresentatedOrRepresentativesNames xml:space="preserve"> </RepresentatedOrRepresentativesNames>
        <RepresentatedOrRepresentativesCount>1</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264377514</CasePartyID>
        <PartyTypeID>2</PartyTypeID>
        <ActivityStatusID>1</ActivityStatusID>
        <PartyAliasID>30</PartyAliasID>
        <PartyAliasName>בא כוח מאשימה</PartyAliasName>
        <OrdinalNumber>1</OrdinalNumber>
        <LegalEntityID>380150</LegalEntityID>
        <CaseLegalEntityID>127188089</CaseLegalEntityID>
        <AuthenticationTypeID>4</AuthenticationTypeID>
        <AuthenticationTypeName>מ.ר.</AuthenticationTypeName>
        <LegalEntityNumber>15128</LegalEntityNumber>
        <IsMainPartyType>true</IsMainPartyType>
        <CaseDisplayIdentifier>1581-01-24</CaseDisplayIdentifier>
        <CaseTypeID>10062</CaseTypeID>
        <CaseTypeName>חנייה (ח"נ)</CaseTypeName>
        <CaseName>מדינת ישראל נ' דורו רוזן</CaseName>
        <FullAddress>סטרומה 1 בת ים </FullAddress>
        <MotionID>0</MotionID>
        <CasePleaID>0</CasePleaID>
        <LinkedCaseID>0</LinkedCaseID>
        <PartyID>1</PartyID>
        <CasePartyCategoryID>2</CasePartyCategoryID>
        <LegalEntityAddressID>88208945</LegalEntityAddressID>
        <PleaTypeID>8</PleaTypeID>
        <LawyerOfficeName>עיריית בת ים - תביעה עירונית פלילי</LawyerOfficeName>
        <LawyerOfficeID>81359788</LawyerOfficeID>
        <GroupPartyAlias/>
        <IsConverted>false</IsConverted>
        <LegalEntityNameID>1134</LegalEntityNameID>
        <RepresentatedNamesOfAssistant/>
        <LegalEntityTypeID>4</LegalEntityTypeID>
        <IsVerdictExists>false</IsVerdictExists>
        <IsAsirAzir>false</IsAsirAzir>
        <MainAndSecSpec/>
        <IsPublicationProhibited>false</IsPublicationProhibited>
        <PublicationProhibitedFullName>קורינה מץ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דוד דורו רוזן</FullName>
        <FirstName>דוד</FirstName>
        <LastName>דורו רוזן</LastName>
        <PartyPropertyName/>
        <AuthenticationTypeAndNumber>ת"ז 022237390</AuthenticationTypeAndNumber>
        <RepresentatedOrRepresentativesNames/>
        <RepresentatedOrRepresentativesCount>0</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264377515</CasePartyID>
        <PartyTypeID>1</PartyTypeID>
        <ActivityStatusID>1</ActivityStatusID>
        <PartyAliasID>13</PartyAliasID>
        <PartyAliasName>נאשם</PartyAliasName>
        <OrdinalNumber>1</OrdinalNumber>
        <LegalEntityID>7606821</LegalEntityID>
        <CaseLegalEntityID>127188090</CaseLegalEntityID>
        <AuthenticationTypeID>1</AuthenticationTypeID>
        <AuthenticationTypeName>ת"ז</AuthenticationTypeName>
        <LegalEntityNumber>022237390</LegalEntityNumber>
        <IsMainPartyType>true</IsMainPartyType>
        <CaseDisplayIdentifier>1581-01-24</CaseDisplayIdentifier>
        <CaseTypeID>10062</CaseTypeID>
        <CaseTypeName>חנייה (ח"נ)</CaseTypeName>
        <CaseName>מדינת ישראל נ' דורו רוזן</CaseName>
        <FullAddress>שילר 8 תל אביב -יפו </FullAddress>
        <MotionID>0</MotionID>
        <CasePleaID>0</CasePleaID>
        <FatherName>פסח</FatherName>
        <LinkedCaseID>0</LinkedCaseID>
        <PartyID>2</PartyID>
        <CasePartyCategoryID>2</CasePartyCategoryID>
        <LegalEntityAddressID>88782019</LegalEntityAddressID>
        <PleaTypeID>8</PleaTypeID>
        <GroupPartyAlias>נאשמים</GroupPartyAlias>
        <IsConverted>false</IsConverted>
        <LegalEntityNameID>95931885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דוד דורו רוזן</PublicationProhibitedFullName>
      </CaseParties>
    </CasePartiesSelectionDS>
    <DecisionName>הכרעת דין  שניתנה ע"י  כריסטינה חילו-אסעד</DecisionName>
    <CourtDisplayName>בית משפט לעניינים מקומיים בבת ים</CourtDisplayName>
    <IsCaseJudgePanel>false</IsCaseJudgePanel>
    <DecisionSignatureDate>2024-07-08T14:19:29.8422923+03:00</DecisionSignatureDate>
    <OpenCaseDate>2024-01-01T11:00:00+02:00</OpenCaseDate>
    <ExternalCaseNumber>1264/23</ExternalCaseNumber>
    <DecisionTypeID>3</DecisionTypeID>
    <DecisionSignatureUserName>כריסטינה חילו-אסעד</DecisionSignatureUserName>
    <DecisionSignatureDateHebrew>2024-07-08T14:19:29.8422923+03:00</DecisionSignatureDateHebrew>
    <DecisionWriterID>036048072@GOV.IL</DecisionWriterID>
    <CourtAddress>רח' ניסנבאום 7, בת ים -1</CourtAddress>
    <IsAutoTextInCaseExist>false</IsAutoTextInCaseExist>
    <DecisionSignatureRoleName>שופט</DecisionSignatureRoleName>
    <DecisionSignatureUserTitleName>שופטת</DecisionSignatureUserTitleName>
    <CaseName>מדינת ישראל נ' דורו רוזן</CaseName>
    <DecisionNumberInCase>9</DecisionNumberInCase>
  </dt_Decision>
  <dt_DecisionCase>
    <DecisionID>0</DecisionID>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בני מזיג</FullName>
        <FirstName>בני</FirstName>
        <LastName>מזיג</LastName>
        <PartyPropertyName/>
        <AuthenticationTypeAndNumber>ת"ז </AuthenticationTypeAndNumber>
        <RepresentatedOrRepresentativesNames/>
        <RepresentatedOrRepresentativesCount>0</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265417282</CasePartyID>
        <PartyTypeID>4</PartyTypeID>
        <ActivityStatusID>1</ActivityStatusID>
        <PartyAliasID>101</PartyAliasID>
        <PartyAliasName>עד בית משפט</PartyAliasName>
        <LegalEntityID>81691852</LegalEntityID>
        <CaseLegalEntityID>127495273</CaseLegalEntityID>
        <AuthenticationTypeID>1</AuthenticationTypeID>
        <AuthenticationTypeName>ת"ז</AuthenticationTypeName>
        <IsMainPartyType>true</IsMainPartyType>
        <CaseDisplayIdentifier>1581-01-24</CaseDisplayIdentifier>
        <CaseTypeID>10062</CaseTypeID>
        <CaseTypeName>חנייה (ח"נ)</CaseTypeName>
        <CaseName>מדינת ישראל נ' דורו רוזן</CaseName>
        <FullAddress>חשמונאים 27 בת ים </FullAddress>
        <MotionID>0</MotionID>
        <CasePleaID>0</CasePleaID>
        <LinkedCaseID>0</LinkedCaseID>
        <CasePartyCategoryID>1</CasePartyCategoryID>
        <LegalEntityAddressID>88875528</LegalEntityAddressID>
        <PleaTypeID>8</PleaTypeID>
        <GroupPartyAlias/>
        <IsConverted>false</IsConverted>
        <LegalEntityNameID>96047805</LegalEntityNameID>
        <RepresentatedNamesOfAssistant/>
        <LegalEntityTypeID>1</LegalEntityTypeID>
        <IsVerdictExists>false</IsVerdictExists>
        <IsAsirAzir>false</IsAsirAzir>
        <MainAndSecSpec/>
        <IsPublicationProhibited>false</IsPublicationProhibited>
        <PublicationProhibitedFullName>בני מזיג</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קורינה מץ</RepresentatedOrRepresentativesNames>
        <RepresentatedOrRepresentativesCount>1</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264377513</CasePartyID>
        <PartyTypeID>1</PartyTypeID>
        <ActivityStatusID>1</ActivityStatusID>
        <PartyAliasID>11</PartyAliasID>
        <PartyAliasName>מאשימה</PartyAliasName>
        <OrdinalNumber>1</OrdinalNumber>
        <LegalEntityID>4</LegalEntityID>
        <CaseLegalEntityID>127188088</CaseLegalEntityID>
        <AuthenticationTypeID>41</AuthenticationTypeID>
        <AuthenticationTypeName>מדינת ישראל </AuthenticationTypeName>
        <LegalEntityNumber/>
        <IsMainPartyType>true</IsMainPartyType>
        <CaseDisplayIdentifier>1581-01-24</CaseDisplayIdentifier>
        <CaseTypeID>10062</CaseTypeID>
        <CaseTypeName>חנייה (ח"נ)</CaseTypeName>
        <CaseName>מדינת ישראל נ' דורו רוזן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קורינה מץ</FullName>
        <FirstName>קורינה</FirstName>
        <LastName>מץ</LastName>
        <PartyPropertyName/>
        <AuthenticationTypeAndNumber>מ.ר. 15128</AuthenticationTypeAndNumber>
        <RepresentatedOrRepresentativesNames xml:space="preserve"> </RepresentatedOrRepresentativesNames>
        <RepresentatedOrRepresentativesCount>1</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264377514</CasePartyID>
        <PartyTypeID>2</PartyTypeID>
        <ActivityStatusID>1</ActivityStatusID>
        <PartyAliasID>30</PartyAliasID>
        <PartyAliasName>בא כוח מאשימה</PartyAliasName>
        <OrdinalNumber>1</OrdinalNumber>
        <LegalEntityID>380150</LegalEntityID>
        <CaseLegalEntityID>127188089</CaseLegalEntityID>
        <AuthenticationTypeID>4</AuthenticationTypeID>
        <AuthenticationTypeName>מ.ר.</AuthenticationTypeName>
        <LegalEntityNumber>15128</LegalEntityNumber>
        <IsMainPartyType>true</IsMainPartyType>
        <CaseDisplayIdentifier>1581-01-24</CaseDisplayIdentifier>
        <CaseTypeID>10062</CaseTypeID>
        <CaseTypeName>חנייה (ח"נ)</CaseTypeName>
        <CaseName>מדינת ישראל נ' דורו רוזן</CaseName>
        <FullAddress>סטרומה 1 בת ים </FullAddress>
        <MotionID>0</MotionID>
        <CasePleaID>0</CasePleaID>
        <LinkedCaseID>0</LinkedCaseID>
        <PartyID>1</PartyID>
        <CasePartyCategoryID>2</CasePartyCategoryID>
        <LegalEntityAddressID>88208945</LegalEntityAddressID>
        <PleaTypeID>8</PleaTypeID>
        <LawyerOfficeName>עיריית בת ים - תביעה עירונית פלילי</LawyerOfficeName>
        <LawyerOfficeID>81359788</LawyerOfficeID>
        <GroupPartyAlias/>
        <IsConverted>false</IsConverted>
        <LegalEntityNameID>1134</LegalEntityNameID>
        <RepresentatedNamesOfAssistant/>
        <LegalEntityTypeID>4</LegalEntityTypeID>
        <IsVerdictExists>false</IsVerdictExists>
        <IsAsirAzir>false</IsAsirAzir>
        <MainAndSecSpec/>
        <IsPublicationProhibited>false</IsPublicationProhibited>
        <PublicationProhibitedFullName>קורינה מץ</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דוד דורו רוזן</FullName>
        <FirstName>דוד</FirstName>
        <LastName>דורו רוזן</LastName>
        <PartyPropertyName/>
        <AuthenticationTypeAndNumber>ת"ז 022237390</AuthenticationTypeAndNumber>
        <RepresentatedOrRepresentativesNames/>
        <RepresentatedOrRepresentativesCount>0</RepresentatedOrRepresentativesCount>
        <InvitedBy/>
        <CaseID>80871443</CaseID>
        <CaseJudicialPersonPresentationDS>
          <CaseJudicalPersonActive>
            <CaseID>80871443</CaseID>
            <JudicialPersonID>036048072@GOV.IL</JudicialPersonID>
            <JudicialPersonTypeID>1</JudicialPersonTypeID>
            <JudicialTypeID>1</JudicialTypeID>
            <IsChairman>false</IsChairman>
            <TreatmentStartDate>2024-01-04T09:51:14.037+02:00</TreatmentStartDate>
            <TreatmentFinishDate>9999-12-31T23:59:59.997+02:00</TreatmentFinishDate>
            <IdentificationCardNumber>036048072</IdentificationCardNumber>
            <DisplayName>כריסטינה חילו-אסעד</DisplayName>
            <JudicialTypeName>שופט</JudicialTypeName>
            <CaseJudicialGroupNumber>0</CaseJudicialGroupNumber>
            <FirstName>כריסטינה</FirstName>
            <LastName>חילו-אסעד</LastName>
            <JudicialPersonTitle>שופט</JudicialPersonTitle>
          </CaseJudicalPersonActive>
        </CaseJudicialPersonPresentationDS>
        <CasePartyID>264377515</CasePartyID>
        <PartyTypeID>1</PartyTypeID>
        <ActivityStatusID>1</ActivityStatusID>
        <PartyAliasID>13</PartyAliasID>
        <PartyAliasName>נאשם</PartyAliasName>
        <OrdinalNumber>1</OrdinalNumber>
        <LegalEntityID>7606821</LegalEntityID>
        <CaseLegalEntityID>127188090</CaseLegalEntityID>
        <AuthenticationTypeID>1</AuthenticationTypeID>
        <AuthenticationTypeName>ת"ז</AuthenticationTypeName>
        <LegalEntityNumber>022237390</LegalEntityNumber>
        <IsMainPartyType>true</IsMainPartyType>
        <CaseDisplayIdentifier>1581-01-24</CaseDisplayIdentifier>
        <CaseTypeID>10062</CaseTypeID>
        <CaseTypeName>חנייה (ח"נ)</CaseTypeName>
        <CaseName>מדינת ישראל נ' דורו רוזן</CaseName>
        <FullAddress>שילר 8 תל אביב -יפו </FullAddress>
        <MotionID>0</MotionID>
        <CasePleaID>0</CasePleaID>
        <FatherName>פסח</FatherName>
        <LinkedCaseID>0</LinkedCaseID>
        <PartyID>2</PartyID>
        <CasePartyCategoryID>2</CasePartyCategoryID>
        <LegalEntityAddressID>88782019</LegalEntityAddressID>
        <PleaTypeID>8</PleaTypeID>
        <GroupPartyAlias>נאשמים</GroupPartyAlias>
        <IsConverted>false</IsConverted>
        <LegalEntityNameID>95931885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דוד דורו רוזן</PublicationProhibitedFullName>
      </CaseParties>
    </CasePartiesSelectionDS>
    <CaseName>מדינת ישראל נ' דורו רוזן</CaseName>
    <CaseDisplayIdentifier>1581-01-24</CaseDisplayIdentifier>
    <CaseTypeShortName>ח"נ</CaseTypeShortName>
  </dt_DecisionCase>
  <dt_DecisionJudgePanel>
    <JudgeID>036048072@GOV.IL</JudgeID>
    <DisplayName>כריסטינה חילו-אסעד</DisplayName>
    <RoleName>שופט</RoleName>
    <UserTitleName>שופטת</UserTitleName>
  </dt_DecisionJudgePanel>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hone>03-5556004</Phone>
    <PartyID>1</PartyID>
    <PartyTypeID>2</PartyTypeID>
    <DecisionID>0</DecisionID>
    <StreetName>סטרומה 1</StreetName>
    <CityName>בת ים</CityName>
    <FullName>קורינה מץ</FullName>
    <Email>tviot-plili@bat-yam.muni.il</Email>
    <IsPublicationProhibited>false</IsPublicationProhibited>
  </dt_LegalEntityDetails>
  <dt_LegalEntityDetails>
    <PartyID>2</PartyID>
    <PartyTypeID>1</PartyTypeID>
    <DecisionID>0</DecisionID>
    <StreetName>שילר 8</StreetName>
    <CityName>תל אביב -יפו</CityName>
    <FullName>דוד דורו רוזן</FullName>
    <IsPublicationProhibited>false</IsPublicationProhibited>
  </dt_LegalEntityDetails>
  <dt_CaseJudicalPersonActive>
    <CaseJudicalPerson>שופטת כריסטינה חילו-אסעד</CaseJudicalPerson>
  </dt_CaseJudicalPersonActive>
  <dt_Sitting>
    <PreviousMeetingDate>2024-06-02T12:00:00+03:00</PreviousMeetingDate>
    <PreviousSittingTypeID>2</PreviousSittingTypeID>
    <PreviousMeetingDisplayName>שופטת כריסטינה חילו-אסעד</PreviousMeetingDisplayName>
    <PreviousMeetingRoleName>שופט</PreviousMeetingRoleName>
    <PreviousMeetingUserTitleName>שופטת</PreviousMeetingUserTitleName>
    <PreviousMeetingUserUPN>036048072@GOV.IL</PreviousMeetingUserUPN>
  </dt_Sitting>
</DecisionTemplateDS>
</file>

<file path=customXml/itemProps1.xml><?xml version="1.0" encoding="utf-8"?>
<ds:datastoreItem xmlns:ds="http://schemas.openxmlformats.org/officeDocument/2006/customXml" ds:itemID="{741346BA-0498-4463-B3F3-C666C2ABF4F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2750</Words>
  <Characters>13754</Characters>
  <Application>Microsoft Office Word</Application>
  <DocSecurity>0</DocSecurity>
  <Lines>114</Lines>
  <Paragraphs>32</Paragraphs>
  <ScaleCrop>false</ScaleCrop>
  <Company>Microsoft Corporation</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כריסטינה חילו-אסעד</cp:lastModifiedBy>
  <cp:revision>2</cp:revision>
  <cp:lastPrinted>2024-07-08T11:26:00Z</cp:lastPrinted>
  <dcterms:created xsi:type="dcterms:W3CDTF">2024-07-08T13:38:00Z</dcterms:created>
  <dcterms:modified xsi:type="dcterms:W3CDTF">2024-07-08T13:38:00Z</dcterms:modified>
</cp:coreProperties>
</file>